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87" w:rsidRDefault="00781687" w:rsidP="00781687">
      <w:pPr>
        <w:pStyle w:val="Default"/>
        <w:jc w:val="center"/>
        <w:rPr>
          <w:b/>
          <w:bCs/>
          <w:color w:val="9BBB59" w:themeColor="accent3"/>
          <w:sz w:val="32"/>
          <w:szCs w:val="36"/>
          <w:u w:val="single"/>
        </w:rPr>
      </w:pPr>
      <w:r w:rsidRPr="00D97325">
        <w:rPr>
          <w:b/>
          <w:bCs/>
          <w:color w:val="9BBB59" w:themeColor="accent3"/>
          <w:sz w:val="32"/>
          <w:szCs w:val="36"/>
          <w:u w:val="single"/>
        </w:rPr>
        <w:t xml:space="preserve">Podmínky nabídky pro členy </w:t>
      </w:r>
      <w:r>
        <w:rPr>
          <w:b/>
          <w:bCs/>
          <w:color w:val="9BBB59" w:themeColor="accent3"/>
          <w:sz w:val="32"/>
          <w:szCs w:val="36"/>
          <w:u w:val="single"/>
        </w:rPr>
        <w:t>ČMKOS</w:t>
      </w:r>
    </w:p>
    <w:p w:rsidR="00781687" w:rsidRPr="00D97325" w:rsidRDefault="00781687" w:rsidP="00781687">
      <w:pPr>
        <w:pStyle w:val="Default"/>
        <w:jc w:val="center"/>
        <w:rPr>
          <w:sz w:val="32"/>
          <w:szCs w:val="36"/>
        </w:rPr>
      </w:pPr>
    </w:p>
    <w:p w:rsidR="00781687" w:rsidRPr="00CB5E14" w:rsidRDefault="00781687" w:rsidP="00781687">
      <w:pPr>
        <w:pStyle w:val="Default"/>
        <w:numPr>
          <w:ilvl w:val="0"/>
          <w:numId w:val="1"/>
        </w:numPr>
        <w:spacing w:before="120"/>
        <w:jc w:val="both"/>
        <w:rPr>
          <w:bCs/>
          <w:color w:val="auto"/>
          <w:sz w:val="20"/>
          <w:szCs w:val="22"/>
        </w:rPr>
      </w:pPr>
      <w:r w:rsidRPr="00D97325">
        <w:rPr>
          <w:bCs/>
          <w:color w:val="404040" w:themeColor="text1" w:themeTint="BF"/>
          <w:sz w:val="20"/>
          <w:szCs w:val="22"/>
        </w:rPr>
        <w:t>MND a.s., IČ 24883006, DIČ 699003312, se sídlem na Úprkova 807/6, 695 01 Hodonín, zapsan</w:t>
      </w:r>
      <w:r>
        <w:rPr>
          <w:bCs/>
          <w:color w:val="404040" w:themeColor="text1" w:themeTint="BF"/>
          <w:sz w:val="20"/>
          <w:szCs w:val="22"/>
        </w:rPr>
        <w:t>á</w:t>
      </w:r>
      <w:r w:rsidRPr="00D97325">
        <w:rPr>
          <w:bCs/>
          <w:color w:val="404040" w:themeColor="text1" w:themeTint="BF"/>
          <w:sz w:val="20"/>
          <w:szCs w:val="22"/>
        </w:rPr>
        <w:t xml:space="preserve"> v obchodním rejstříku </w:t>
      </w:r>
      <w:r w:rsidRPr="00CB5E14">
        <w:rPr>
          <w:bCs/>
          <w:color w:val="auto"/>
          <w:sz w:val="20"/>
          <w:szCs w:val="22"/>
        </w:rPr>
        <w:t xml:space="preserve">vedeném Krajským soudem v Brně, oddíl B, vložka 6209 (dále jen </w:t>
      </w:r>
      <w:r w:rsidRPr="00CB5E14">
        <w:rPr>
          <w:bCs/>
          <w:i/>
          <w:color w:val="auto"/>
          <w:sz w:val="20"/>
          <w:szCs w:val="22"/>
        </w:rPr>
        <w:t>MND</w:t>
      </w:r>
      <w:r w:rsidRPr="00CB5E14">
        <w:rPr>
          <w:bCs/>
          <w:color w:val="auto"/>
          <w:sz w:val="20"/>
          <w:szCs w:val="22"/>
        </w:rPr>
        <w:t>), nabízí členům Českomoravské konfederace odborových svazů (dále jen ČMKOS), kteří za dále stanovených podmínek uzavřou pro své odběrné místo smlouvu o sdružených službách dodávky zemního plynu anebo elektrické energie s MND, výhodné ceny energií.</w:t>
      </w:r>
    </w:p>
    <w:p w:rsidR="00781687" w:rsidRPr="00CB5E14" w:rsidRDefault="00781687" w:rsidP="00781687">
      <w:pPr>
        <w:pStyle w:val="Default"/>
        <w:numPr>
          <w:ilvl w:val="0"/>
          <w:numId w:val="1"/>
        </w:numPr>
        <w:spacing w:before="120"/>
        <w:jc w:val="both"/>
        <w:rPr>
          <w:color w:val="auto"/>
          <w:sz w:val="20"/>
          <w:szCs w:val="22"/>
        </w:rPr>
      </w:pPr>
      <w:r w:rsidRPr="00CB5E14">
        <w:rPr>
          <w:color w:val="auto"/>
          <w:sz w:val="20"/>
          <w:szCs w:val="22"/>
        </w:rPr>
        <w:t>Této akce mohou využít členové ČMKOS a jejich rodinní příslušníci, či známí (členové ČMKOS a jejich rodinní příslušníci a známí dále společně jako „</w:t>
      </w:r>
      <w:r w:rsidRPr="00CB5E14">
        <w:rPr>
          <w:i/>
          <w:color w:val="auto"/>
          <w:sz w:val="20"/>
          <w:szCs w:val="22"/>
        </w:rPr>
        <w:t>členové ČMKOS</w:t>
      </w:r>
      <w:r w:rsidRPr="00CB5E14">
        <w:rPr>
          <w:color w:val="auto"/>
          <w:sz w:val="20"/>
          <w:szCs w:val="22"/>
        </w:rPr>
        <w:t>“).</w:t>
      </w:r>
    </w:p>
    <w:p w:rsidR="00781687" w:rsidRPr="00CB5E14" w:rsidRDefault="00781687" w:rsidP="00781687">
      <w:pPr>
        <w:pStyle w:val="Default"/>
        <w:numPr>
          <w:ilvl w:val="0"/>
          <w:numId w:val="1"/>
        </w:numPr>
        <w:spacing w:before="120"/>
        <w:jc w:val="both"/>
        <w:rPr>
          <w:bCs/>
          <w:color w:val="auto"/>
          <w:sz w:val="20"/>
          <w:szCs w:val="22"/>
        </w:rPr>
      </w:pPr>
      <w:r w:rsidRPr="00CB5E14">
        <w:rPr>
          <w:bCs/>
          <w:color w:val="auto"/>
          <w:sz w:val="20"/>
          <w:szCs w:val="22"/>
        </w:rPr>
        <w:t xml:space="preserve">Smlouva o sdružených službách dodávky zemního plynu anebo elektrické energie musí být uzavřena prostřednictvím webu </w:t>
      </w:r>
      <w:hyperlink r:id="rId8" w:history="1">
        <w:r w:rsidRPr="00CB5E14">
          <w:rPr>
            <w:b/>
            <w:color w:val="auto"/>
            <w:sz w:val="20"/>
            <w:szCs w:val="22"/>
            <w:u w:val="single"/>
          </w:rPr>
          <w:t>www.odboryplus.cz</w:t>
        </w:r>
      </w:hyperlink>
      <w:r w:rsidRPr="00CB5E14">
        <w:rPr>
          <w:bCs/>
          <w:color w:val="auto"/>
          <w:sz w:val="20"/>
          <w:szCs w:val="22"/>
        </w:rPr>
        <w:t>.</w:t>
      </w:r>
    </w:p>
    <w:p w:rsidR="00781687" w:rsidRPr="00CB5E14" w:rsidRDefault="00781687" w:rsidP="00781687">
      <w:pPr>
        <w:pStyle w:val="Default"/>
        <w:numPr>
          <w:ilvl w:val="0"/>
          <w:numId w:val="1"/>
        </w:numPr>
        <w:spacing w:before="120"/>
        <w:jc w:val="both"/>
        <w:rPr>
          <w:color w:val="auto"/>
          <w:sz w:val="20"/>
        </w:rPr>
      </w:pPr>
      <w:r w:rsidRPr="00CB5E14">
        <w:rPr>
          <w:color w:val="auto"/>
          <w:sz w:val="20"/>
          <w:szCs w:val="22"/>
        </w:rPr>
        <w:t>V případě zneužití slevy osobou, která není členem ČMKOS (ani rodinným příslušníkem či známým člena ČMKOS), je MND oprávněna doúčtovat zákazníkovi rozdíl mezi částkou uhrazenou zákazníkem za odebranou komoditu a částkou, která měla být uhrazena bez využití této akce.</w:t>
      </w:r>
    </w:p>
    <w:p w:rsidR="00781687" w:rsidRPr="00CB5E14" w:rsidRDefault="00781687" w:rsidP="00781687">
      <w:pPr>
        <w:pStyle w:val="Default"/>
        <w:numPr>
          <w:ilvl w:val="0"/>
          <w:numId w:val="1"/>
        </w:numPr>
        <w:spacing w:before="120"/>
        <w:jc w:val="both"/>
        <w:rPr>
          <w:color w:val="auto"/>
          <w:sz w:val="20"/>
        </w:rPr>
      </w:pPr>
      <w:r w:rsidRPr="00CB5E14">
        <w:rPr>
          <w:color w:val="auto"/>
          <w:sz w:val="20"/>
          <w:szCs w:val="22"/>
        </w:rPr>
        <w:t>Nabídka je platná pouze pro odběrná místa, do kterých posledních 6 měsíců MND nedodávala zemní plyn, nebo elektřinu, a na která nemá zájemce o využití této akce s MND uzavřenou platnou smlouvu.</w:t>
      </w:r>
    </w:p>
    <w:p w:rsidR="00781687" w:rsidRPr="00CB5E14" w:rsidRDefault="00781687" w:rsidP="00781687">
      <w:pPr>
        <w:pStyle w:val="Default"/>
        <w:numPr>
          <w:ilvl w:val="0"/>
          <w:numId w:val="1"/>
        </w:numPr>
        <w:spacing w:before="120"/>
        <w:jc w:val="both"/>
        <w:rPr>
          <w:color w:val="auto"/>
          <w:sz w:val="20"/>
          <w:szCs w:val="22"/>
        </w:rPr>
      </w:pPr>
      <w:r w:rsidRPr="00CB5E14">
        <w:rPr>
          <w:color w:val="auto"/>
          <w:sz w:val="20"/>
          <w:szCs w:val="22"/>
        </w:rPr>
        <w:t>Tuto akci je možné využít při uzavření smlouvy pro domácnosti i maloodběratele.</w:t>
      </w:r>
    </w:p>
    <w:p w:rsidR="00781687" w:rsidRPr="00CB5E14" w:rsidRDefault="00781687" w:rsidP="00781687">
      <w:pPr>
        <w:pStyle w:val="Default"/>
        <w:numPr>
          <w:ilvl w:val="0"/>
          <w:numId w:val="1"/>
        </w:numPr>
        <w:spacing w:before="120"/>
        <w:jc w:val="both"/>
        <w:rPr>
          <w:color w:val="auto"/>
          <w:sz w:val="20"/>
          <w:szCs w:val="22"/>
        </w:rPr>
      </w:pPr>
      <w:r w:rsidRPr="00CB5E14">
        <w:rPr>
          <w:color w:val="auto"/>
          <w:sz w:val="20"/>
          <w:szCs w:val="22"/>
        </w:rPr>
        <w:t xml:space="preserve">Při uzavření smlouvy o sdružených službách dodávky </w:t>
      </w:r>
      <w:r w:rsidRPr="00CB5E14">
        <w:rPr>
          <w:b/>
          <w:color w:val="auto"/>
          <w:sz w:val="20"/>
          <w:szCs w:val="22"/>
        </w:rPr>
        <w:t xml:space="preserve">elektrické energie </w:t>
      </w:r>
      <w:r w:rsidRPr="00CB5E14">
        <w:rPr>
          <w:color w:val="auto"/>
          <w:sz w:val="20"/>
          <w:szCs w:val="22"/>
        </w:rPr>
        <w:t xml:space="preserve">získává člen ČMKOS </w:t>
      </w:r>
      <w:r w:rsidRPr="00CB5E14">
        <w:rPr>
          <w:b/>
          <w:color w:val="auto"/>
          <w:sz w:val="20"/>
          <w:szCs w:val="22"/>
        </w:rPr>
        <w:t>mimořádnou slevou 100 Kč za každou odebranou MWh elektřiny pro první rok odběr</w:t>
      </w:r>
      <w:r w:rsidRPr="00CB5E14">
        <w:rPr>
          <w:color w:val="auto"/>
          <w:sz w:val="20"/>
          <w:szCs w:val="22"/>
        </w:rPr>
        <w:t>u. Výplata slevy probíhá automaticky snížením ceny MWh o 100 Kč a to po dobu prvního roku odběru. Po uplynutí této doby bude zákazník odebírat elektřinu dle aktuálně platného základního ceníku Proud – Domácnosti, resp. Proud – Maloodběratelé.</w:t>
      </w:r>
    </w:p>
    <w:p w:rsidR="00781687" w:rsidRPr="00CB5E14" w:rsidRDefault="00781687" w:rsidP="00781687">
      <w:pPr>
        <w:pStyle w:val="Default"/>
        <w:ind w:left="720"/>
        <w:jc w:val="both"/>
        <w:rPr>
          <w:color w:val="auto"/>
          <w:sz w:val="20"/>
          <w:szCs w:val="22"/>
        </w:rPr>
      </w:pPr>
    </w:p>
    <w:p w:rsidR="00781687" w:rsidRPr="00CB5E14" w:rsidRDefault="00781687" w:rsidP="00781687">
      <w:pPr>
        <w:pStyle w:val="Default"/>
        <w:numPr>
          <w:ilvl w:val="0"/>
          <w:numId w:val="1"/>
        </w:numPr>
        <w:jc w:val="both"/>
        <w:rPr>
          <w:color w:val="auto"/>
          <w:sz w:val="20"/>
          <w:szCs w:val="22"/>
        </w:rPr>
      </w:pPr>
      <w:r w:rsidRPr="00CB5E14">
        <w:rPr>
          <w:color w:val="auto"/>
          <w:sz w:val="20"/>
          <w:szCs w:val="22"/>
        </w:rPr>
        <w:t xml:space="preserve">Při uzavření smlouvy o sdružených službách dodávky </w:t>
      </w:r>
      <w:r w:rsidRPr="00CB5E14">
        <w:rPr>
          <w:b/>
          <w:color w:val="auto"/>
          <w:sz w:val="20"/>
          <w:szCs w:val="22"/>
        </w:rPr>
        <w:t>plynu</w:t>
      </w:r>
      <w:r w:rsidRPr="00CB5E14">
        <w:rPr>
          <w:color w:val="auto"/>
          <w:sz w:val="20"/>
          <w:szCs w:val="22"/>
        </w:rPr>
        <w:t xml:space="preserve"> získává člen ČMKOS </w:t>
      </w:r>
      <w:r w:rsidRPr="00CB5E14">
        <w:rPr>
          <w:b/>
          <w:color w:val="auto"/>
          <w:sz w:val="20"/>
          <w:szCs w:val="22"/>
        </w:rPr>
        <w:t>poukaz v hodnotě 1 000 Kč</w:t>
      </w:r>
      <w:r w:rsidRPr="00CB5E14">
        <w:rPr>
          <w:color w:val="auto"/>
          <w:sz w:val="20"/>
          <w:szCs w:val="22"/>
        </w:rPr>
        <w:t xml:space="preserve">. Tato částka bude odečtena z obchodní části ceny v prvním vyúčtování. Pokud poukaz zákazník nevyčerpá v plné výši ihned, zbylá část mu bude převedena do dalšího zúčtovacího období. </w:t>
      </w:r>
    </w:p>
    <w:p w:rsidR="00781687" w:rsidRPr="00CB5E14" w:rsidRDefault="00781687" w:rsidP="00781687">
      <w:pPr>
        <w:pStyle w:val="Default"/>
        <w:ind w:left="720"/>
        <w:jc w:val="both"/>
        <w:rPr>
          <w:color w:val="auto"/>
          <w:sz w:val="20"/>
          <w:szCs w:val="22"/>
        </w:rPr>
      </w:pPr>
    </w:p>
    <w:p w:rsidR="00781687" w:rsidRPr="00CB5E14" w:rsidRDefault="00781687" w:rsidP="00781687">
      <w:pPr>
        <w:pStyle w:val="Default"/>
        <w:numPr>
          <w:ilvl w:val="0"/>
          <w:numId w:val="1"/>
        </w:numPr>
        <w:jc w:val="both"/>
        <w:rPr>
          <w:color w:val="auto"/>
          <w:sz w:val="16"/>
          <w:szCs w:val="22"/>
        </w:rPr>
      </w:pPr>
      <w:r w:rsidRPr="00CB5E14">
        <w:rPr>
          <w:color w:val="auto"/>
          <w:sz w:val="20"/>
        </w:rPr>
        <w:t>Po prvním roce odběru plynu po dobu následujících dvou let bude zákazníkovi zároveň automaticky přiznána věrnostní prémie MND, díky které mu bude snížena platba za MWh odebraného plynu o 6 %. Při ukončení odběru plynu před uplynutím této doby bude sleva zpětně doúčtována. Po uplynutí dvou let bude prémie za věrnost automaticky přiznána pro navazující období dle aktuálně platného základního ceníku Plyn z první ruky.</w:t>
      </w:r>
    </w:p>
    <w:p w:rsidR="00781687" w:rsidRPr="00CB5E14" w:rsidRDefault="00781687" w:rsidP="00781687">
      <w:pPr>
        <w:pStyle w:val="Default"/>
        <w:jc w:val="both"/>
        <w:rPr>
          <w:color w:val="auto"/>
          <w:sz w:val="20"/>
          <w:szCs w:val="22"/>
        </w:rPr>
      </w:pPr>
    </w:p>
    <w:p w:rsidR="00781687" w:rsidRPr="00CB5E14" w:rsidRDefault="00781687" w:rsidP="00781687">
      <w:pPr>
        <w:pStyle w:val="Default"/>
        <w:numPr>
          <w:ilvl w:val="0"/>
          <w:numId w:val="1"/>
        </w:numPr>
        <w:jc w:val="both"/>
        <w:rPr>
          <w:color w:val="auto"/>
          <w:sz w:val="20"/>
          <w:szCs w:val="22"/>
        </w:rPr>
      </w:pPr>
      <w:r w:rsidRPr="00CB5E14">
        <w:rPr>
          <w:b/>
          <w:color w:val="auto"/>
          <w:sz w:val="20"/>
          <w:szCs w:val="22"/>
        </w:rPr>
        <w:t>Nabídka není limitována, členové ČMKOS a jejich rodinní příslušníci a známí mohou využít nabídku na libovolný počet odběrných míst</w:t>
      </w:r>
      <w:r w:rsidRPr="00CB5E14">
        <w:rPr>
          <w:color w:val="auto"/>
          <w:sz w:val="20"/>
          <w:szCs w:val="22"/>
        </w:rPr>
        <w:t>.</w:t>
      </w:r>
    </w:p>
    <w:p w:rsidR="00781687" w:rsidRPr="00CB5E14" w:rsidRDefault="00781687" w:rsidP="00781687">
      <w:pPr>
        <w:pStyle w:val="Odstavecseseznamem"/>
        <w:spacing w:before="0"/>
        <w:rPr>
          <w:sz w:val="20"/>
        </w:rPr>
      </w:pPr>
    </w:p>
    <w:p w:rsidR="00781687" w:rsidRPr="00CB5E14" w:rsidRDefault="00781687" w:rsidP="00781687">
      <w:pPr>
        <w:pStyle w:val="Default"/>
        <w:numPr>
          <w:ilvl w:val="0"/>
          <w:numId w:val="1"/>
        </w:numPr>
        <w:jc w:val="both"/>
        <w:rPr>
          <w:color w:val="auto"/>
          <w:sz w:val="20"/>
          <w:szCs w:val="22"/>
        </w:rPr>
      </w:pPr>
      <w:r w:rsidRPr="00CB5E14">
        <w:rPr>
          <w:color w:val="auto"/>
          <w:sz w:val="20"/>
          <w:szCs w:val="22"/>
        </w:rPr>
        <w:t xml:space="preserve">Nabídku </w:t>
      </w:r>
      <w:r w:rsidRPr="00CB5E14">
        <w:rPr>
          <w:b/>
          <w:color w:val="auto"/>
          <w:sz w:val="20"/>
          <w:szCs w:val="22"/>
        </w:rPr>
        <w:t>nelze kombinovat</w:t>
      </w:r>
      <w:r w:rsidRPr="00CB5E14">
        <w:rPr>
          <w:color w:val="auto"/>
          <w:sz w:val="20"/>
          <w:szCs w:val="22"/>
        </w:rPr>
        <w:t xml:space="preserve"> s dalšími slevami.</w:t>
      </w:r>
    </w:p>
    <w:p w:rsidR="00781687" w:rsidRDefault="00781687" w:rsidP="00781687">
      <w:pPr>
        <w:pStyle w:val="Odstavecseseznamem"/>
        <w:spacing w:before="0"/>
        <w:rPr>
          <w:color w:val="404040" w:themeColor="text1" w:themeTint="BF"/>
          <w:sz w:val="20"/>
        </w:rPr>
      </w:pPr>
    </w:p>
    <w:p w:rsidR="00781687" w:rsidRPr="002803F9" w:rsidRDefault="00781687" w:rsidP="00781687">
      <w:pPr>
        <w:pStyle w:val="Default"/>
        <w:numPr>
          <w:ilvl w:val="0"/>
          <w:numId w:val="1"/>
        </w:numPr>
        <w:jc w:val="both"/>
        <w:rPr>
          <w:color w:val="404040" w:themeColor="text1" w:themeTint="BF"/>
          <w:sz w:val="20"/>
          <w:szCs w:val="22"/>
        </w:rPr>
      </w:pPr>
      <w:r w:rsidRPr="002803F9">
        <w:rPr>
          <w:color w:val="404040" w:themeColor="text1" w:themeTint="BF"/>
          <w:sz w:val="20"/>
          <w:szCs w:val="22"/>
        </w:rPr>
        <w:t xml:space="preserve">MND je oprávněna tyto </w:t>
      </w:r>
      <w:r w:rsidRPr="002803F9">
        <w:rPr>
          <w:b/>
          <w:color w:val="404040" w:themeColor="text1" w:themeTint="BF"/>
          <w:sz w:val="20"/>
          <w:szCs w:val="22"/>
        </w:rPr>
        <w:t>podmínky akce jednostranně doplňovat či měnit</w:t>
      </w:r>
      <w:r w:rsidRPr="002803F9">
        <w:rPr>
          <w:color w:val="404040" w:themeColor="text1" w:themeTint="BF"/>
          <w:sz w:val="20"/>
          <w:szCs w:val="22"/>
        </w:rPr>
        <w:t xml:space="preserve">, a to s účinností ode dne zveřejnění těchto podmínek na </w:t>
      </w:r>
      <w:hyperlink r:id="rId9" w:history="1">
        <w:r w:rsidRPr="002803F9">
          <w:rPr>
            <w:rStyle w:val="Hypertextovodkaz"/>
            <w:sz w:val="20"/>
            <w:szCs w:val="22"/>
          </w:rPr>
          <w:t>www.odboryplus.cz</w:t>
        </w:r>
      </w:hyperlink>
    </w:p>
    <w:p w:rsidR="00781687" w:rsidRDefault="00781687" w:rsidP="00781687">
      <w:pPr>
        <w:rPr>
          <w:color w:val="404040" w:themeColor="text1" w:themeTint="BF"/>
          <w:sz w:val="20"/>
        </w:rPr>
      </w:pPr>
    </w:p>
    <w:p w:rsidR="00781687" w:rsidRPr="00D97325" w:rsidRDefault="00781687" w:rsidP="00781687">
      <w:pPr>
        <w:ind w:firstLine="708"/>
        <w:rPr>
          <w:sz w:val="20"/>
        </w:rPr>
      </w:pPr>
      <w:r w:rsidRPr="00D97325">
        <w:rPr>
          <w:color w:val="404040" w:themeColor="text1" w:themeTint="BF"/>
          <w:sz w:val="20"/>
        </w:rPr>
        <w:t xml:space="preserve">Tyto podmínky akce jsou účinné </w:t>
      </w:r>
      <w:r w:rsidRPr="000F35F7">
        <w:rPr>
          <w:color w:val="404040" w:themeColor="text1" w:themeTint="BF"/>
          <w:sz w:val="20"/>
        </w:rPr>
        <w:t xml:space="preserve">od </w:t>
      </w:r>
      <w:r>
        <w:rPr>
          <w:color w:val="404040" w:themeColor="text1" w:themeTint="BF"/>
          <w:sz w:val="20"/>
        </w:rPr>
        <w:t>7.1.2019</w:t>
      </w:r>
    </w:p>
    <w:p w:rsidR="00D83A6C" w:rsidRPr="001668DE" w:rsidRDefault="00D83A6C" w:rsidP="00834039">
      <w:pPr>
        <w:rPr>
          <w:rFonts w:cs="Calibri"/>
          <w:color w:val="404040" w:themeColor="text1" w:themeTint="BF"/>
          <w:sz w:val="20"/>
        </w:rPr>
      </w:pPr>
    </w:p>
    <w:p w:rsidR="00D83A6C" w:rsidRPr="001668DE" w:rsidRDefault="00D83A6C" w:rsidP="00834039">
      <w:pPr>
        <w:rPr>
          <w:rFonts w:cs="Calibri"/>
          <w:color w:val="404040" w:themeColor="text1" w:themeTint="BF"/>
          <w:sz w:val="20"/>
        </w:rPr>
      </w:pPr>
    </w:p>
    <w:p w:rsidR="00D83A6C" w:rsidRPr="001668DE" w:rsidRDefault="00D83A6C" w:rsidP="00834039">
      <w:pPr>
        <w:rPr>
          <w:rFonts w:cs="Calibri"/>
          <w:color w:val="404040" w:themeColor="text1" w:themeTint="BF"/>
          <w:sz w:val="20"/>
        </w:rPr>
      </w:pPr>
    </w:p>
    <w:p w:rsidR="00D83A6C" w:rsidRPr="001668DE" w:rsidRDefault="00D83A6C" w:rsidP="00834039">
      <w:pPr>
        <w:rPr>
          <w:rFonts w:cs="Calibri"/>
          <w:color w:val="404040" w:themeColor="text1" w:themeTint="BF"/>
          <w:sz w:val="20"/>
        </w:rPr>
      </w:pPr>
    </w:p>
    <w:p w:rsidR="00D83A6C" w:rsidRPr="001668DE" w:rsidRDefault="00D83A6C" w:rsidP="00834039">
      <w:pPr>
        <w:rPr>
          <w:rFonts w:cs="Calibri"/>
          <w:color w:val="404040" w:themeColor="text1" w:themeTint="BF"/>
          <w:sz w:val="20"/>
        </w:rPr>
      </w:pPr>
    </w:p>
    <w:p w:rsidR="00D83A6C" w:rsidRPr="001668DE" w:rsidRDefault="00D83A6C" w:rsidP="007C1682">
      <w:pPr>
        <w:pStyle w:val="Nzev"/>
        <w:keepNext/>
        <w:spacing w:before="120" w:after="240"/>
        <w:contextualSpacing w:val="0"/>
        <w:jc w:val="center"/>
        <w:rPr>
          <w:rFonts w:ascii="Calibri" w:hAnsi="Calibri" w:cs="Calibri"/>
          <w:b w:val="0"/>
          <w:color w:val="000000" w:themeColor="text1"/>
          <w:sz w:val="20"/>
          <w:szCs w:val="20"/>
        </w:rPr>
      </w:pPr>
      <w:r w:rsidRPr="001668DE">
        <w:rPr>
          <w:rFonts w:ascii="Calibri" w:eastAsia="Calibri" w:hAnsi="Calibri" w:cs="Calibri"/>
          <w:bCs/>
          <w:color w:val="auto"/>
          <w:spacing w:val="0"/>
          <w:kern w:val="0"/>
          <w:sz w:val="32"/>
          <w:szCs w:val="36"/>
          <w:u w:val="single"/>
        </w:rPr>
        <w:lastRenderedPageBreak/>
        <w:t>Pravidla Soutěže s MND a.s.</w:t>
      </w:r>
      <w:r w:rsidRPr="001668DE">
        <w:rPr>
          <w:rFonts w:ascii="Calibri" w:eastAsia="Calibri" w:hAnsi="Calibri" w:cs="Calibri"/>
          <w:bCs/>
          <w:color w:val="auto"/>
          <w:spacing w:val="0"/>
          <w:kern w:val="0"/>
          <w:sz w:val="32"/>
          <w:szCs w:val="36"/>
          <w:u w:val="single"/>
        </w:rPr>
        <w:br/>
      </w:r>
      <w:r w:rsidRPr="001668DE">
        <w:rPr>
          <w:rFonts w:ascii="Calibri" w:hAnsi="Calibri" w:cs="Calibri"/>
          <w:b w:val="0"/>
          <w:color w:val="000000" w:themeColor="text1"/>
          <w:sz w:val="20"/>
          <w:szCs w:val="20"/>
        </w:rPr>
        <w:t>(dále jen „Pravidla“)</w:t>
      </w:r>
    </w:p>
    <w:p w:rsidR="00D83A6C" w:rsidRPr="001668DE" w:rsidRDefault="00D83A6C" w:rsidP="00D83A6C">
      <w:pPr>
        <w:pStyle w:val="Nzev"/>
        <w:keepNext/>
        <w:spacing w:before="120" w:after="240"/>
        <w:contextualSpacing w:val="0"/>
        <w:rPr>
          <w:rStyle w:val="Nzevknihy"/>
          <w:rFonts w:ascii="Calibri" w:hAnsi="Calibri" w:cs="Calibri"/>
          <w:color w:val="auto"/>
          <w:sz w:val="20"/>
          <w:szCs w:val="20"/>
        </w:rPr>
      </w:pPr>
      <w:r w:rsidRPr="001668DE">
        <w:rPr>
          <w:rFonts w:ascii="Calibri" w:hAnsi="Calibri" w:cs="Calibri"/>
          <w:b w:val="0"/>
          <w:color w:val="auto"/>
          <w:sz w:val="20"/>
          <w:szCs w:val="20"/>
        </w:rPr>
        <w:t>Tato Pravidla upravují spotřebitelskou soutěž s názvem „Soutěž s MND a.s.“ (dále jen „Soutěž“).</w:t>
      </w:r>
    </w:p>
    <w:p w:rsidR="00D83A6C" w:rsidRPr="001668DE" w:rsidRDefault="00D83A6C" w:rsidP="00F24212">
      <w:pPr>
        <w:pStyle w:val="Nadpis1"/>
        <w:rPr>
          <w:rFonts w:ascii="Calibri" w:hAnsi="Calibri" w:cs="Calibri"/>
        </w:rPr>
      </w:pPr>
      <w:bookmarkStart w:id="0" w:name="_Toc473191859"/>
      <w:r w:rsidRPr="001668DE">
        <w:rPr>
          <w:rFonts w:ascii="Calibri" w:hAnsi="Calibri" w:cs="Calibri"/>
        </w:rPr>
        <w:t>Pořadatel</w:t>
      </w:r>
      <w:bookmarkEnd w:id="0"/>
    </w:p>
    <w:p w:rsidR="00D83A6C" w:rsidRPr="001668DE" w:rsidRDefault="00D83A6C" w:rsidP="003F2AB7">
      <w:pPr>
        <w:pStyle w:val="Nadpis2"/>
        <w:rPr>
          <w:b/>
          <w:i/>
        </w:rPr>
      </w:pPr>
      <w:r w:rsidRPr="001668DE">
        <w:t>Pořadatel. Pořadatelem soutěže je společnost MND a.s., se sídlem Úprkova 807/6, Hodonín, PSČ 695 01, IČO: 28483006, zapsaná v obchodním rejstříku vedeného u Krajského soudu v Brně pod sp. zn. B 6209 (dále jen „MND nebo Pořadatel“).</w:t>
      </w:r>
    </w:p>
    <w:p w:rsidR="00D83A6C" w:rsidRPr="001668DE" w:rsidRDefault="00D83A6C" w:rsidP="00F24212">
      <w:pPr>
        <w:pStyle w:val="Nadpis1"/>
        <w:rPr>
          <w:rFonts w:ascii="Calibri" w:hAnsi="Calibri" w:cs="Calibri"/>
        </w:rPr>
      </w:pPr>
      <w:bookmarkStart w:id="1" w:name="_Toc473191860"/>
      <w:r w:rsidRPr="001668DE">
        <w:rPr>
          <w:rFonts w:ascii="Calibri" w:hAnsi="Calibri" w:cs="Calibri"/>
        </w:rPr>
        <w:t>Popis, doba a místo konání</w:t>
      </w:r>
      <w:bookmarkEnd w:id="1"/>
    </w:p>
    <w:p w:rsidR="00D83A6C" w:rsidRPr="003F2AB7" w:rsidRDefault="00D83A6C" w:rsidP="003F2AB7">
      <w:pPr>
        <w:pStyle w:val="Nadpis2"/>
        <w:rPr>
          <w:i/>
        </w:rPr>
      </w:pPr>
      <w:r w:rsidRPr="003F2AB7">
        <w:rPr>
          <w:b/>
        </w:rPr>
        <w:t xml:space="preserve">Doba konání. </w:t>
      </w:r>
      <w:r w:rsidR="003F2AB7" w:rsidRPr="003F2AB7">
        <w:t xml:space="preserve">Soutěž </w:t>
      </w:r>
      <w:r w:rsidR="00E6246E">
        <w:t xml:space="preserve">probíhá v období od </w:t>
      </w:r>
      <w:r w:rsidR="00AD49CF">
        <w:t>1.8</w:t>
      </w:r>
      <w:r w:rsidR="00E6246E">
        <w:t>.</w:t>
      </w:r>
      <w:r w:rsidR="00AD49CF">
        <w:t xml:space="preserve"> 2019</w:t>
      </w:r>
      <w:r w:rsidR="00E6246E">
        <w:t xml:space="preserve"> do 31. 1</w:t>
      </w:r>
      <w:r w:rsidR="00AD49CF">
        <w:t>0. 2019</w:t>
      </w:r>
      <w:r w:rsidR="003F2AB7" w:rsidRPr="003F2AB7">
        <w:t xml:space="preserve">. Výherci Soutěže budou vyhlášeni do </w:t>
      </w:r>
      <w:r w:rsidR="00AD49CF">
        <w:t xml:space="preserve">8. 11. 2019. </w:t>
      </w:r>
    </w:p>
    <w:p w:rsidR="00D83A6C" w:rsidRPr="001668DE" w:rsidRDefault="00D83A6C" w:rsidP="003F2AB7">
      <w:pPr>
        <w:pStyle w:val="Nadpis2"/>
        <w:rPr>
          <w:b/>
          <w:i/>
        </w:rPr>
      </w:pPr>
      <w:r w:rsidRPr="003F2AB7">
        <w:rPr>
          <w:b/>
        </w:rPr>
        <w:t>Místo konání</w:t>
      </w:r>
      <w:r w:rsidRPr="001668DE">
        <w:t xml:space="preserve">. Soutěž se koná na webové stránce umístěné na adrese </w:t>
      </w:r>
      <w:bookmarkStart w:id="2" w:name="_Ref473206624"/>
      <w:r w:rsidR="00014856">
        <w:fldChar w:fldCharType="begin"/>
      </w:r>
      <w:r w:rsidR="00AD49CF">
        <w:instrText xml:space="preserve"> HYPERLINK "https://www.odboryplus.cz/" </w:instrText>
      </w:r>
      <w:r w:rsidR="00014856">
        <w:fldChar w:fldCharType="separate"/>
      </w:r>
      <w:r w:rsidR="00AD49CF">
        <w:rPr>
          <w:rStyle w:val="Hypertextovodkaz"/>
        </w:rPr>
        <w:t>https://www.odboryplus.cz/</w:t>
      </w:r>
      <w:r w:rsidR="00014856">
        <w:fldChar w:fldCharType="end"/>
      </w:r>
      <w:r w:rsidRPr="001668DE">
        <w:t>.</w:t>
      </w:r>
    </w:p>
    <w:p w:rsidR="00D83A6C" w:rsidRPr="001668DE" w:rsidRDefault="00D83A6C" w:rsidP="00DC25C6">
      <w:pPr>
        <w:pStyle w:val="Nadpis2"/>
        <w:rPr>
          <w:b/>
          <w:i/>
        </w:rPr>
      </w:pPr>
      <w:bookmarkStart w:id="3" w:name="_Ref499551292"/>
      <w:r w:rsidRPr="003F2AB7">
        <w:rPr>
          <w:b/>
        </w:rPr>
        <w:t>Pravidla</w:t>
      </w:r>
      <w:r w:rsidRPr="001668DE">
        <w:t>. Pravidla jsou zveřejněna na webové stránce na adrese</w:t>
      </w:r>
      <w:hyperlink r:id="rId10" w:history="1">
        <w:r w:rsidR="00DC25C6">
          <w:rPr>
            <w:rStyle w:val="Hypertextovodkaz"/>
          </w:rPr>
          <w:t>https://www.odboryplus.cz/</w:t>
        </w:r>
      </w:hyperlink>
      <w:bookmarkEnd w:id="2"/>
      <w:bookmarkEnd w:id="3"/>
    </w:p>
    <w:p w:rsidR="00D83A6C" w:rsidRPr="001668DE" w:rsidRDefault="00D83A6C" w:rsidP="00F24212">
      <w:pPr>
        <w:pStyle w:val="Nadpis1"/>
        <w:rPr>
          <w:rFonts w:ascii="Calibri" w:hAnsi="Calibri" w:cs="Calibri"/>
        </w:rPr>
      </w:pPr>
      <w:bookmarkStart w:id="4" w:name="_Toc473191861"/>
      <w:r w:rsidRPr="001668DE">
        <w:rPr>
          <w:rFonts w:ascii="Calibri" w:hAnsi="Calibri" w:cs="Calibri"/>
        </w:rPr>
        <w:t>Podmínky účasti</w:t>
      </w:r>
      <w:bookmarkEnd w:id="4"/>
    </w:p>
    <w:p w:rsidR="00D83A6C" w:rsidRPr="00781687" w:rsidRDefault="00D83A6C" w:rsidP="003F2AB7">
      <w:pPr>
        <w:pStyle w:val="Nadpis2"/>
        <w:rPr>
          <w:b/>
          <w:i/>
          <w:color w:val="000000" w:themeColor="text1"/>
        </w:rPr>
      </w:pPr>
      <w:r w:rsidRPr="003F2AB7">
        <w:rPr>
          <w:b/>
        </w:rPr>
        <w:t>Účastník</w:t>
      </w:r>
      <w:r w:rsidRPr="001668DE">
        <w:t xml:space="preserve">. </w:t>
      </w:r>
      <w:r w:rsidRPr="00781687">
        <w:rPr>
          <w:color w:val="000000" w:themeColor="text1"/>
        </w:rPr>
        <w:t xml:space="preserve">Soutěže se </w:t>
      </w:r>
      <w:r w:rsidR="00D01D53" w:rsidRPr="00781687">
        <w:rPr>
          <w:color w:val="000000" w:themeColor="text1"/>
        </w:rPr>
        <w:t xml:space="preserve">mohou zúčastnit pouze </w:t>
      </w:r>
      <w:r w:rsidR="00D01D53" w:rsidRPr="00781687">
        <w:rPr>
          <w:color w:val="000000" w:themeColor="text1"/>
          <w:szCs w:val="22"/>
        </w:rPr>
        <w:t xml:space="preserve">členové ČMKOS a jejich rodinní příslušníci, či známí. </w:t>
      </w:r>
      <w:r w:rsidRPr="00781687">
        <w:rPr>
          <w:color w:val="000000" w:themeColor="text1"/>
        </w:rPr>
        <w:t>Účast v Soutěži je dobrovolná, přičemž do Soutěže je nutné přihlásit se postupem uvedeným v těchto Pravidlech. Osoba, která se v souladu s Pravidly přihlásí do Soutěže, se stává účastníkem Soutěže (dále jen „Účastník“).</w:t>
      </w:r>
    </w:p>
    <w:p w:rsidR="00571AE0" w:rsidRPr="00571AE0" w:rsidRDefault="00D83A6C" w:rsidP="00B01A9D">
      <w:pPr>
        <w:pStyle w:val="Nadpis2"/>
        <w:rPr>
          <w:b/>
          <w:i/>
        </w:rPr>
      </w:pPr>
      <w:r w:rsidRPr="00571AE0">
        <w:rPr>
          <w:b/>
        </w:rPr>
        <w:t>Přihlášení</w:t>
      </w:r>
      <w:r w:rsidRPr="001668DE">
        <w:t xml:space="preserve">. Podmínkou účasti v Soutěži je </w:t>
      </w:r>
      <w:r w:rsidR="00847CBD">
        <w:t>vytvoření nezávazné nabídky na odběr elektrické energie nebo zemního plynu od MND, která bude členovi ČMKOS zaslána na email. Tomuto kroku musí</w:t>
      </w:r>
      <w:r w:rsidR="00D01D53">
        <w:t xml:space="preserve"> předcházet kontaktování MND odesláním vyplněného formuláře umístěného na webové stránce www.odboryplus.cz s</w:t>
      </w:r>
      <w:r w:rsidR="00847CBD">
        <w:t xml:space="preserve"> pravdivými </w:t>
      </w:r>
      <w:r w:rsidR="00D01D53">
        <w:t>kontaktními údaji,</w:t>
      </w:r>
      <w:r w:rsidRPr="001668DE">
        <w:t xml:space="preserve"> a to v době konání Soutěže. </w:t>
      </w:r>
      <w:bookmarkStart w:id="5" w:name="_Ref512514005"/>
    </w:p>
    <w:p w:rsidR="00D83A6C" w:rsidRPr="001668DE" w:rsidRDefault="00FE18E7" w:rsidP="00FE18E7">
      <w:pPr>
        <w:pStyle w:val="Nadpis2"/>
        <w:rPr>
          <w:b/>
        </w:rPr>
      </w:pPr>
      <w:r>
        <w:rPr>
          <w:b/>
        </w:rPr>
        <w:t>Kontaktní</w:t>
      </w:r>
      <w:r>
        <w:rPr>
          <w:b/>
        </w:rPr>
        <w:tab/>
      </w:r>
      <w:r w:rsidR="00D83A6C" w:rsidRPr="00FE18E7">
        <w:rPr>
          <w:b/>
        </w:rPr>
        <w:t xml:space="preserve"> formulář</w:t>
      </w:r>
      <w:r w:rsidR="00D83A6C" w:rsidRPr="001668DE">
        <w:t xml:space="preserve">. </w:t>
      </w:r>
      <w:r>
        <w:t>Kontaktní</w:t>
      </w:r>
      <w:r w:rsidR="00D83A6C" w:rsidRPr="001668DE">
        <w:t xml:space="preserve"> formulář musí být Účastníkem vyplněn úplně, správně a pravdivě. Vyplněním a odesláním </w:t>
      </w:r>
      <w:r>
        <w:t>Kontaktního</w:t>
      </w:r>
      <w:r w:rsidR="00D83A6C" w:rsidRPr="001668DE">
        <w:t xml:space="preserve"> formuláře Účastník vyjadřuje souhlas s těmito Pravidly, s účastí v Soutěži a bere na vědomí, že v rámci Soutěže dochází ke zpracování jeho osobních údajů</w:t>
      </w:r>
      <w:r>
        <w:t>.</w:t>
      </w:r>
      <w:bookmarkEnd w:id="5"/>
    </w:p>
    <w:p w:rsidR="00D83A6C" w:rsidRPr="001668DE" w:rsidRDefault="00D83A6C" w:rsidP="00F24212">
      <w:pPr>
        <w:pStyle w:val="Nadpis1"/>
        <w:rPr>
          <w:rFonts w:ascii="Calibri" w:hAnsi="Calibri" w:cs="Calibri"/>
        </w:rPr>
      </w:pPr>
      <w:bookmarkStart w:id="6" w:name="_Toc473191862"/>
      <w:r w:rsidRPr="001668DE">
        <w:rPr>
          <w:rFonts w:ascii="Calibri" w:hAnsi="Calibri" w:cs="Calibri"/>
        </w:rPr>
        <w:t>Výhr</w:t>
      </w:r>
      <w:bookmarkEnd w:id="6"/>
      <w:r w:rsidRPr="001668DE">
        <w:rPr>
          <w:rFonts w:ascii="Calibri" w:hAnsi="Calibri" w:cs="Calibri"/>
        </w:rPr>
        <w:t>y a výherce</w:t>
      </w:r>
    </w:p>
    <w:p w:rsidR="00D83A6C" w:rsidRPr="001668DE" w:rsidRDefault="00D83A6C" w:rsidP="003F2AB7">
      <w:pPr>
        <w:pStyle w:val="Nadpis2"/>
        <w:rPr>
          <w:b/>
          <w:i/>
        </w:rPr>
      </w:pPr>
      <w:bookmarkStart w:id="7" w:name="_Ref497734580"/>
      <w:r w:rsidRPr="003F2AB7">
        <w:rPr>
          <w:b/>
        </w:rPr>
        <w:t>Výhra</w:t>
      </w:r>
      <w:r w:rsidRPr="001668DE">
        <w:t>. Do Soutěže byla Pořadatelem vložena následující Výhra:</w:t>
      </w:r>
      <w:bookmarkEnd w:id="7"/>
    </w:p>
    <w:p w:rsidR="00D83A6C" w:rsidRPr="001668DE" w:rsidRDefault="00FE18E7" w:rsidP="00D83A6C">
      <w:pPr>
        <w:pStyle w:val="Nadpis3"/>
        <w:keepNext w:val="0"/>
        <w:tabs>
          <w:tab w:val="left" w:pos="851"/>
        </w:tabs>
        <w:spacing w:before="120"/>
        <w:ind w:left="567"/>
        <w:rPr>
          <w:rFonts w:cs="Calibri"/>
          <w:b w:val="0"/>
          <w:sz w:val="20"/>
          <w:szCs w:val="20"/>
        </w:rPr>
      </w:pPr>
      <w:r>
        <w:rPr>
          <w:rFonts w:cs="Calibri"/>
          <w:b w:val="0"/>
          <w:sz w:val="20"/>
          <w:szCs w:val="20"/>
        </w:rPr>
        <w:t>Pět Výher</w:t>
      </w:r>
      <w:r w:rsidR="00D83A6C" w:rsidRPr="001668DE">
        <w:rPr>
          <w:rFonts w:cs="Calibri"/>
          <w:b w:val="0"/>
          <w:sz w:val="20"/>
          <w:szCs w:val="20"/>
        </w:rPr>
        <w:t xml:space="preserve"> v množství </w:t>
      </w:r>
      <w:r>
        <w:rPr>
          <w:rFonts w:cs="Calibri"/>
          <w:b w:val="0"/>
          <w:sz w:val="20"/>
          <w:szCs w:val="20"/>
        </w:rPr>
        <w:t>5</w:t>
      </w:r>
      <w:r w:rsidR="00D83A6C" w:rsidRPr="001668DE">
        <w:rPr>
          <w:rFonts w:cs="Calibri"/>
          <w:b w:val="0"/>
          <w:sz w:val="20"/>
          <w:szCs w:val="20"/>
        </w:rPr>
        <w:t xml:space="preserve">ks dárkových poukazů v nominální hodnotě 1 000,- Kč/ks na nákup v internetovém obchodě Alza.cz, jehož provozovatelem je společnost Alza.cz a.s., se sídlem Jankovcova 1522/53, Holešovice, 170 00 Praha 7, zapsaná u Městského soudu v Praze pod sp. zn. B 8573. </w:t>
      </w:r>
    </w:p>
    <w:p w:rsidR="00D83A6C" w:rsidRPr="001668DE" w:rsidRDefault="00D83A6C" w:rsidP="003F2AB7">
      <w:pPr>
        <w:pStyle w:val="Nadpis2"/>
        <w:rPr>
          <w:b/>
          <w:i/>
        </w:rPr>
      </w:pPr>
      <w:r w:rsidRPr="003F2AB7">
        <w:rPr>
          <w:b/>
        </w:rPr>
        <w:t>Losování výherců</w:t>
      </w:r>
      <w:r w:rsidRPr="001668DE">
        <w:t>. Z Účastníků Soutěže bude určen výherce Soutěže losem pomocí automatického slosovacího zařízení. Do slosování budou zařazeny všechny platně</w:t>
      </w:r>
      <w:r w:rsidR="00847CBD">
        <w:t xml:space="preserve"> odeslané kalkulace</w:t>
      </w:r>
      <w:bookmarkStart w:id="8" w:name="_GoBack"/>
      <w:bookmarkEnd w:id="8"/>
      <w:r w:rsidRPr="001668DE">
        <w:t>. Slosování proběhne</w:t>
      </w:r>
      <w:r w:rsidR="003D4463">
        <w:t xml:space="preserve"> během následujících pěti pracovních dnů po ukončení Soutěže</w:t>
      </w:r>
      <w:r w:rsidRPr="001668DE">
        <w:t>. Výhercem může být pouze Účastník splňující tato Pravidla.</w:t>
      </w:r>
    </w:p>
    <w:p w:rsidR="00D83A6C" w:rsidRPr="001668DE" w:rsidRDefault="00D83A6C" w:rsidP="003F2AB7">
      <w:pPr>
        <w:pStyle w:val="Nadpis2"/>
        <w:rPr>
          <w:b/>
          <w:i/>
        </w:rPr>
      </w:pPr>
      <w:r w:rsidRPr="003F2AB7">
        <w:rPr>
          <w:b/>
        </w:rPr>
        <w:t>Oznámení výherce</w:t>
      </w:r>
      <w:r w:rsidRPr="001668DE">
        <w:t xml:space="preserve">. Výherce bude nejpozději do </w:t>
      </w:r>
      <w:r w:rsidR="003D4463">
        <w:t>8</w:t>
      </w:r>
      <w:r w:rsidRPr="001668DE">
        <w:t xml:space="preserve">. </w:t>
      </w:r>
      <w:r w:rsidR="003D4463">
        <w:t xml:space="preserve">11. </w:t>
      </w:r>
      <w:r w:rsidRPr="001668DE">
        <w:t>2019 o výhře vyrozuměn telefonicky (poskytl-li své telefonní číslo) a e-mailem na e-mailovou adresu jím uvedenou v </w:t>
      </w:r>
      <w:r w:rsidR="003D4463">
        <w:t>Kontaktním</w:t>
      </w:r>
      <w:r w:rsidRPr="001668DE">
        <w:t xml:space="preserve"> formuláři mu budou zaslány pokyny k uplatnění Výhry. Výherce je povinen na tento e-mail zareagovat nejpozději do tří (3) pracovních dní dle pokynů v e-mailu, přičemž platí v případě nedodržení této lhůty, že odmítl výhru převzít a na jeho místo nastupuje náhradník. Za nedoručitelnost oznámení o výhře v důsledku chybného uvedení e-mailu, či v důsledku změny e-mailu Účastníka, která nebyla Pořadateli včas oznámena, Pořadatel neodpovídá. </w:t>
      </w:r>
      <w:bookmarkStart w:id="9" w:name="_Ref473549576"/>
    </w:p>
    <w:p w:rsidR="003D4463" w:rsidRPr="003D4463" w:rsidRDefault="00D83A6C" w:rsidP="00C11ABC">
      <w:pPr>
        <w:pStyle w:val="Nadpis2"/>
        <w:rPr>
          <w:b/>
          <w:i/>
        </w:rPr>
      </w:pPr>
      <w:r w:rsidRPr="003D4463">
        <w:rPr>
          <w:b/>
        </w:rPr>
        <w:t>Předání Výhry</w:t>
      </w:r>
      <w:r w:rsidRPr="001668DE">
        <w:t xml:space="preserve">. Výhra bude zaslána Účastníkovi poštou; případně po dohodě s Pořadatelem jiným způsobem. </w:t>
      </w:r>
      <w:bookmarkStart w:id="10" w:name="_Ref480364834"/>
      <w:bookmarkEnd w:id="9"/>
    </w:p>
    <w:p w:rsidR="00D83A6C" w:rsidRPr="003D4463" w:rsidRDefault="00D83A6C" w:rsidP="00C11ABC">
      <w:pPr>
        <w:pStyle w:val="Nadpis2"/>
        <w:rPr>
          <w:b/>
          <w:i/>
        </w:rPr>
      </w:pPr>
      <w:r w:rsidRPr="003D4463">
        <w:rPr>
          <w:b/>
        </w:rPr>
        <w:lastRenderedPageBreak/>
        <w:t>Poukaz</w:t>
      </w:r>
      <w:r w:rsidRPr="001668DE">
        <w:t>. Výhru je možno uplatnit formou poukazu na zakoupení jakéhokoliv produktu ze sortimentu společnosti Alza.cz a.s. Poukaz je možné uplatnit nejpozději do konce data jeho platnosti.</w:t>
      </w:r>
      <w:bookmarkEnd w:id="10"/>
    </w:p>
    <w:p w:rsidR="00D83A6C" w:rsidRPr="001668DE" w:rsidRDefault="00D83A6C" w:rsidP="003F2AB7">
      <w:pPr>
        <w:pStyle w:val="Nadpis2"/>
        <w:rPr>
          <w:b/>
          <w:i/>
        </w:rPr>
      </w:pPr>
      <w:r w:rsidRPr="003F2AB7">
        <w:rPr>
          <w:b/>
        </w:rPr>
        <w:t>Nesměnitelnost</w:t>
      </w:r>
      <w:r w:rsidRPr="001668DE">
        <w:t xml:space="preserve">. Výhru není možné vyplatit v hotovosti ani vyměnit za jinou. </w:t>
      </w:r>
    </w:p>
    <w:p w:rsidR="00D83A6C" w:rsidRPr="001668DE" w:rsidRDefault="00D83A6C" w:rsidP="00F24212">
      <w:pPr>
        <w:pStyle w:val="Nadpis1"/>
        <w:rPr>
          <w:rFonts w:ascii="Calibri" w:hAnsi="Calibri" w:cs="Calibri"/>
        </w:rPr>
      </w:pPr>
      <w:bookmarkStart w:id="11" w:name="_Toc473191863"/>
      <w:bookmarkStart w:id="12" w:name="_Ref512507061"/>
      <w:bookmarkStart w:id="13" w:name="_Ref512514491"/>
      <w:r w:rsidRPr="001668DE">
        <w:rPr>
          <w:rFonts w:ascii="Calibri" w:hAnsi="Calibri" w:cs="Calibri"/>
        </w:rPr>
        <w:t>Osobní údaje</w:t>
      </w:r>
      <w:bookmarkEnd w:id="11"/>
      <w:bookmarkEnd w:id="12"/>
      <w:bookmarkEnd w:id="13"/>
    </w:p>
    <w:p w:rsidR="00D83A6C" w:rsidRPr="001668DE" w:rsidRDefault="00D83A6C" w:rsidP="003F2AB7">
      <w:pPr>
        <w:pStyle w:val="Nadpis2"/>
        <w:rPr>
          <w:b/>
          <w:i/>
        </w:rPr>
      </w:pPr>
      <w:r w:rsidRPr="003F2AB7">
        <w:rPr>
          <w:b/>
        </w:rPr>
        <w:t>Úvodní ustanovení</w:t>
      </w:r>
      <w:r w:rsidRPr="001668DE">
        <w:t>. Osobní údaje Účastníka jsou předmětem ochrany osobních údajů podle právních předpisů, zejména Nařízení Evropského parlamentu a Rady (EU) 2016/679 ze dne 27. 4. 2016 o ochraně fyzických osob v souvislosti se zpracováním osobních údajů a o volném pohybu těchto údajů a o zrušení směrnice 95/46/ES (obecné nařízení o ochraně osobních údajů; dále jen „GDPR“).</w:t>
      </w:r>
    </w:p>
    <w:p w:rsidR="00D83A6C" w:rsidRPr="001668DE" w:rsidRDefault="00D83A6C" w:rsidP="003F2AB7">
      <w:pPr>
        <w:pStyle w:val="Nadpis2"/>
        <w:rPr>
          <w:b/>
          <w:i/>
        </w:rPr>
      </w:pPr>
      <w:r w:rsidRPr="003F2AB7">
        <w:rPr>
          <w:b/>
        </w:rPr>
        <w:t>Správce</w:t>
      </w:r>
      <w:r w:rsidRPr="001668DE">
        <w:t>. Správcem osobních údajů je Pořadatel.</w:t>
      </w:r>
    </w:p>
    <w:p w:rsidR="006323AF" w:rsidRPr="006323AF" w:rsidRDefault="00D83A6C" w:rsidP="004F1E97">
      <w:pPr>
        <w:pStyle w:val="Nadpis2"/>
        <w:rPr>
          <w:b/>
          <w:i/>
        </w:rPr>
      </w:pPr>
      <w:r w:rsidRPr="006323AF">
        <w:rPr>
          <w:b/>
        </w:rPr>
        <w:t>Rozsah, účel a právní titul</w:t>
      </w:r>
      <w:r w:rsidRPr="001668DE">
        <w:t xml:space="preserve">. Osobní údaje Účastníka budou Správcem zpracovávány v rozsahu uvedeném v odst. </w:t>
      </w:r>
      <w:fldSimple w:instr=" REF _Ref512514005 \r \h  \* MERGEFORMAT ">
        <w:r w:rsidR="00FB5135">
          <w:t>3.2</w:t>
        </w:r>
      </w:fldSimple>
      <w:r w:rsidRPr="001668DE">
        <w:t xml:space="preserve"> Pravidel (dále jen „osobní údaje“). Zpracování osobních údajů označených jako „povinné“ je nezbytné pro pořádání Soutěže. Osobní údaje budou zpracovávány za účelem prověření Účastníka (ověření, že je Účastník oprávněn účastnit se Soutěže), navázání kontaktu s Účastníkem v průběhu Soutěže, a zasílání informací o průběhu Soutěže a jejím vyhodnocení. Bez poskytnutí osobních údajů nelze Účastníka do Soutěže zařadit. </w:t>
      </w:r>
    </w:p>
    <w:p w:rsidR="00D83A6C" w:rsidRPr="006323AF" w:rsidRDefault="00D83A6C" w:rsidP="004F1E97">
      <w:pPr>
        <w:pStyle w:val="Nadpis2"/>
        <w:rPr>
          <w:b/>
          <w:i/>
        </w:rPr>
      </w:pPr>
      <w:r w:rsidRPr="006323AF">
        <w:rPr>
          <w:b/>
        </w:rPr>
        <w:t>Doba uchování osobních údajů</w:t>
      </w:r>
      <w:r w:rsidRPr="001668DE">
        <w:t>. Pořadatel bude osobní údaje uchovávat po dobu tří (3) let od skončení Soutěže, případě po dobu delší v daném případě odůvodněnou právními předpisy.</w:t>
      </w:r>
    </w:p>
    <w:p w:rsidR="00D83A6C" w:rsidRPr="001668DE" w:rsidRDefault="00D83A6C" w:rsidP="003F2AB7">
      <w:pPr>
        <w:pStyle w:val="Nadpis2"/>
        <w:rPr>
          <w:b/>
          <w:i/>
        </w:rPr>
      </w:pPr>
      <w:r w:rsidRPr="003F2AB7">
        <w:rPr>
          <w:b/>
        </w:rPr>
        <w:t>Příjemci osobních údajů</w:t>
      </w:r>
      <w:r w:rsidRPr="001668DE">
        <w:t xml:space="preserve">. Osobní údaje budou zpracovávány prostřednictvím zaměstnanců Pořadatele a dále prostřednictvím zpracovatele Pořadatele na základě smlouvy o zpracování osobních údajů. Třetím osobám mohou být osobní údaje zpřístupněny, pouze jsou-li k tomu oprávněny dle právních předpisů. </w:t>
      </w:r>
    </w:p>
    <w:p w:rsidR="00D83A6C" w:rsidRPr="003F2AB7" w:rsidRDefault="00D83A6C" w:rsidP="003F2AB7">
      <w:pPr>
        <w:pStyle w:val="Nadpis2"/>
        <w:rPr>
          <w:b/>
          <w:i/>
        </w:rPr>
      </w:pPr>
      <w:r w:rsidRPr="003F2AB7">
        <w:rPr>
          <w:b/>
        </w:rPr>
        <w:t xml:space="preserve">Práva Účastníka. </w:t>
      </w:r>
    </w:p>
    <w:p w:rsidR="00D83A6C" w:rsidRPr="006323AF" w:rsidRDefault="00D83A6C" w:rsidP="006323AF">
      <w:pPr>
        <w:pStyle w:val="Nadpis3"/>
        <w:keepNext w:val="0"/>
        <w:numPr>
          <w:ilvl w:val="2"/>
          <w:numId w:val="5"/>
        </w:numPr>
        <w:tabs>
          <w:tab w:val="clear" w:pos="1191"/>
        </w:tabs>
        <w:spacing w:before="120" w:after="120" w:line="260" w:lineRule="exact"/>
        <w:ind w:left="851" w:hanging="851"/>
        <w:rPr>
          <w:rFonts w:cs="Calibri"/>
          <w:b w:val="0"/>
          <w:sz w:val="20"/>
          <w:szCs w:val="20"/>
        </w:rPr>
      </w:pPr>
      <w:r w:rsidRPr="001668DE">
        <w:rPr>
          <w:rFonts w:cs="Calibri"/>
          <w:b w:val="0"/>
          <w:sz w:val="20"/>
          <w:szCs w:val="20"/>
        </w:rPr>
        <w:t>Účastník má za podmínek stanovených GDPR právo na přístup ke svým osobním údajům, právo na jejich opravu nebo výmaz, popřípadě na omezení jejich zpracování, jakož i právo na přenositelnost údajů.</w:t>
      </w:r>
    </w:p>
    <w:p w:rsidR="00D83A6C" w:rsidRPr="001668DE" w:rsidRDefault="00D83A6C" w:rsidP="00D83A6C">
      <w:pPr>
        <w:pStyle w:val="Nadpis3"/>
        <w:keepNext w:val="0"/>
        <w:numPr>
          <w:ilvl w:val="2"/>
          <w:numId w:val="5"/>
        </w:numPr>
        <w:tabs>
          <w:tab w:val="clear" w:pos="1191"/>
          <w:tab w:val="num" w:pos="851"/>
        </w:tabs>
        <w:spacing w:before="120" w:after="120" w:line="260" w:lineRule="exact"/>
        <w:ind w:left="851" w:hanging="851"/>
        <w:rPr>
          <w:rFonts w:cs="Calibri"/>
          <w:b w:val="0"/>
          <w:sz w:val="20"/>
          <w:szCs w:val="20"/>
        </w:rPr>
      </w:pPr>
      <w:r w:rsidRPr="001668DE">
        <w:rPr>
          <w:rFonts w:cs="Calibri"/>
          <w:b w:val="0"/>
          <w:sz w:val="20"/>
          <w:szCs w:val="20"/>
        </w:rPr>
        <w:t xml:space="preserve">Způsob, jakým může Účastník výše uvedená práva uplatnit, je uveden v aktuální verzi dokumentu Informace o zpracování osobních údajů na webových stránkách </w:t>
      </w:r>
      <w:hyperlink r:id="rId11" w:history="1">
        <w:r w:rsidRPr="001668DE">
          <w:rPr>
            <w:rStyle w:val="Hypertextovodkaz"/>
            <w:rFonts w:cs="Calibri"/>
            <w:b w:val="0"/>
            <w:sz w:val="20"/>
            <w:szCs w:val="20"/>
          </w:rPr>
          <w:t>http://www.mnd.cz/osobniudaje</w:t>
        </w:r>
      </w:hyperlink>
      <w:r w:rsidRPr="001668DE">
        <w:rPr>
          <w:rFonts w:cs="Calibri"/>
          <w:b w:val="0"/>
          <w:sz w:val="20"/>
          <w:szCs w:val="20"/>
        </w:rPr>
        <w:t>. Na internetových stránkách jsou k dispozici také další informace o zpracování osobních údajů.</w:t>
      </w:r>
    </w:p>
    <w:p w:rsidR="00D83A6C" w:rsidRPr="001668DE" w:rsidRDefault="00D83A6C" w:rsidP="00F24212">
      <w:pPr>
        <w:pStyle w:val="Nadpis1"/>
        <w:rPr>
          <w:rFonts w:ascii="Calibri" w:hAnsi="Calibri" w:cs="Calibri"/>
        </w:rPr>
      </w:pPr>
      <w:bookmarkStart w:id="14" w:name="_Toc473191864"/>
      <w:r w:rsidRPr="001668DE">
        <w:rPr>
          <w:rFonts w:ascii="Calibri" w:hAnsi="Calibri" w:cs="Calibri"/>
        </w:rPr>
        <w:t>Další podmínky</w:t>
      </w:r>
      <w:bookmarkEnd w:id="14"/>
    </w:p>
    <w:p w:rsidR="00D83A6C" w:rsidRPr="001668DE" w:rsidRDefault="00D83A6C" w:rsidP="003F2AB7">
      <w:pPr>
        <w:pStyle w:val="Nadpis2"/>
        <w:rPr>
          <w:b/>
          <w:i/>
        </w:rPr>
      </w:pPr>
      <w:r w:rsidRPr="001668DE">
        <w:t xml:space="preserve">Pořadatel si vyhrazuje právo kdykoli jednostranně tato Pravidla změnit. Aktualizované znění Pravidel bude umístěno na webových stránkách uvedených v odst. </w:t>
      </w:r>
      <w:fldSimple w:instr=" REF _Ref499551292 \r \h  \* MERGEFORMAT ">
        <w:r w:rsidR="00FB5135">
          <w:t>2.3</w:t>
        </w:r>
      </w:fldSimple>
      <w:r w:rsidRPr="001668DE">
        <w:t xml:space="preserve"> těchto Pravidel s účinností změny ke dni zveřejnění. Pořadatel je kdykoli oprávněn změnit dobu konání Soutěže či Soutěž ukončit, a to bez uvedení důvodu a bez poskytnutí náhrady.</w:t>
      </w:r>
    </w:p>
    <w:p w:rsidR="00D83A6C" w:rsidRPr="001668DE" w:rsidRDefault="00D83A6C" w:rsidP="003F2AB7">
      <w:pPr>
        <w:pStyle w:val="Nadpis2"/>
        <w:rPr>
          <w:b/>
          <w:i/>
        </w:rPr>
      </w:pPr>
      <w:r w:rsidRPr="001668DE">
        <w:t>Vymáhání účasti v Soutěži či Výhry soudní cestou je vyloučeno. V případě sporu je určena místní příslušnost podle sídla Pořadatele.</w:t>
      </w:r>
    </w:p>
    <w:p w:rsidR="00D83A6C" w:rsidRPr="001668DE" w:rsidRDefault="00D83A6C" w:rsidP="003F2AB7">
      <w:pPr>
        <w:pStyle w:val="Nadpis2"/>
        <w:rPr>
          <w:b/>
          <w:i/>
        </w:rPr>
      </w:pPr>
      <w:r w:rsidRPr="001668DE">
        <w:t>Pořadatel neodpovídá za chyby způsobené elektronickými komunikačními zařízeními a internetové či mobilní sítě.</w:t>
      </w:r>
    </w:p>
    <w:p w:rsidR="00D83A6C" w:rsidRPr="001668DE" w:rsidRDefault="00D83A6C" w:rsidP="003F2AB7">
      <w:pPr>
        <w:pStyle w:val="Nadpis2"/>
        <w:rPr>
          <w:b/>
          <w:i/>
        </w:rPr>
      </w:pPr>
      <w:r w:rsidRPr="001668DE">
        <w:t xml:space="preserve">Odesláním </w:t>
      </w:r>
      <w:r w:rsidR="00403C5F">
        <w:t>Kontaktního</w:t>
      </w:r>
      <w:r w:rsidRPr="001668DE">
        <w:t xml:space="preserve"> formuláře Účastník potvrzuje svůj výslovný souhlas s těmito Pravidly a stvrzuje, že se seznámil s informacemi o zpracování osobních údajů.</w:t>
      </w:r>
    </w:p>
    <w:p w:rsidR="00403C5F" w:rsidRPr="001668DE" w:rsidRDefault="00403C5F" w:rsidP="00403C5F">
      <w:pPr>
        <w:pStyle w:val="cpNormal1"/>
        <w:spacing w:before="360" w:after="0" w:line="240" w:lineRule="auto"/>
        <w:jc w:val="both"/>
        <w:rPr>
          <w:rFonts w:ascii="Calibri" w:hAnsi="Calibri" w:cs="Calibri"/>
          <w:sz w:val="20"/>
          <w:szCs w:val="20"/>
        </w:rPr>
      </w:pPr>
      <w:r w:rsidRPr="001668DE">
        <w:rPr>
          <w:rFonts w:ascii="Calibri" w:hAnsi="Calibri" w:cs="Calibri"/>
          <w:sz w:val="20"/>
          <w:szCs w:val="20"/>
        </w:rPr>
        <w:t>Tato Pravidla soutěže jso</w:t>
      </w:r>
      <w:r>
        <w:rPr>
          <w:rFonts w:ascii="Calibri" w:hAnsi="Calibri" w:cs="Calibri"/>
          <w:sz w:val="20"/>
          <w:szCs w:val="20"/>
        </w:rPr>
        <w:t>u platná od 1.8.2019 do 31.10</w:t>
      </w:r>
      <w:r w:rsidRPr="001668DE">
        <w:rPr>
          <w:rFonts w:ascii="Calibri" w:hAnsi="Calibri" w:cs="Calibri"/>
          <w:sz w:val="20"/>
          <w:szCs w:val="20"/>
        </w:rPr>
        <w:t>.2019</w:t>
      </w:r>
    </w:p>
    <w:sectPr w:rsidR="00403C5F" w:rsidRPr="001668DE" w:rsidSect="002E1ECE">
      <w:headerReference w:type="default" r:id="rId12"/>
      <w:footerReference w:type="default" r:id="rId13"/>
      <w:pgSz w:w="11906" w:h="16838"/>
      <w:pgMar w:top="964" w:right="851" w:bottom="397" w:left="851" w:header="85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940" w:rsidRDefault="00ED2940" w:rsidP="004C5BA8">
      <w:r>
        <w:separator/>
      </w:r>
    </w:p>
  </w:endnote>
  <w:endnote w:type="continuationSeparator" w:id="1">
    <w:p w:rsidR="00ED2940" w:rsidRDefault="00ED2940" w:rsidP="004C5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Next LT Pro Regular">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A8" w:rsidRPr="00CB43B1" w:rsidRDefault="00CA343A" w:rsidP="002E1ECE">
    <w:pPr>
      <w:pStyle w:val="Zpat"/>
    </w:pPr>
    <w:r>
      <w:rPr>
        <w:noProof/>
      </w:rPr>
      <w:drawing>
        <wp:inline distT="0" distB="0" distL="0" distR="0">
          <wp:extent cx="6477000" cy="619125"/>
          <wp:effectExtent l="0" t="0" r="0" b="9525"/>
          <wp:docPr id="2" name="obrázek 2" descr="zápa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patí"/>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0" cy="6191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940" w:rsidRDefault="00ED2940" w:rsidP="004C5BA8">
      <w:r>
        <w:separator/>
      </w:r>
    </w:p>
  </w:footnote>
  <w:footnote w:type="continuationSeparator" w:id="1">
    <w:p w:rsidR="00ED2940" w:rsidRDefault="00ED2940" w:rsidP="004C5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A8" w:rsidRDefault="00CA343A" w:rsidP="002E1ECE">
    <w:pPr>
      <w:pStyle w:val="Zhlav"/>
    </w:pPr>
    <w:r>
      <w:rPr>
        <w:noProof/>
      </w:rPr>
      <w:drawing>
        <wp:inline distT="0" distB="0" distL="0" distR="0">
          <wp:extent cx="6496050" cy="866775"/>
          <wp:effectExtent l="0" t="0" r="0" b="9525"/>
          <wp:docPr id="1" name="obrázek 1" descr="M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866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5E7D"/>
    <w:multiLevelType w:val="hybridMultilevel"/>
    <w:tmpl w:val="5D480D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7867540"/>
    <w:multiLevelType w:val="hybridMultilevel"/>
    <w:tmpl w:val="F9025090"/>
    <w:lvl w:ilvl="0" w:tplc="EBE66E38">
      <w:start w:val="1"/>
      <w:numFmt w:val="decimal"/>
      <w:lvlText w:val="%1."/>
      <w:lvlJc w:val="left"/>
      <w:pPr>
        <w:ind w:left="720" w:hanging="360"/>
      </w:pPr>
      <w:rPr>
        <w:rFonts w:hint="default"/>
        <w:b/>
        <w:i w:val="0"/>
        <w:color w:val="9BBB59" w:themeColor="accent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B15B3E"/>
    <w:multiLevelType w:val="hybridMultilevel"/>
    <w:tmpl w:val="55669D02"/>
    <w:lvl w:ilvl="0" w:tplc="06CACB90">
      <w:start w:val="1"/>
      <w:numFmt w:val="decimal"/>
      <w:lvlText w:val="%1."/>
      <w:lvlJc w:val="left"/>
      <w:pPr>
        <w:tabs>
          <w:tab w:val="num" w:pos="720"/>
        </w:tabs>
        <w:ind w:left="720" w:hanging="360"/>
      </w:pPr>
    </w:lvl>
    <w:lvl w:ilvl="1" w:tplc="CEE83A7A" w:tentative="1">
      <w:start w:val="1"/>
      <w:numFmt w:val="decimal"/>
      <w:lvlText w:val="%2."/>
      <w:lvlJc w:val="left"/>
      <w:pPr>
        <w:tabs>
          <w:tab w:val="num" w:pos="1440"/>
        </w:tabs>
        <w:ind w:left="1440" w:hanging="360"/>
      </w:pPr>
    </w:lvl>
    <w:lvl w:ilvl="2" w:tplc="C9CADB12" w:tentative="1">
      <w:start w:val="1"/>
      <w:numFmt w:val="decimal"/>
      <w:lvlText w:val="%3."/>
      <w:lvlJc w:val="left"/>
      <w:pPr>
        <w:tabs>
          <w:tab w:val="num" w:pos="2160"/>
        </w:tabs>
        <w:ind w:left="2160" w:hanging="360"/>
      </w:pPr>
    </w:lvl>
    <w:lvl w:ilvl="3" w:tplc="F1B8CED6" w:tentative="1">
      <w:start w:val="1"/>
      <w:numFmt w:val="decimal"/>
      <w:lvlText w:val="%4."/>
      <w:lvlJc w:val="left"/>
      <w:pPr>
        <w:tabs>
          <w:tab w:val="num" w:pos="2880"/>
        </w:tabs>
        <w:ind w:left="2880" w:hanging="360"/>
      </w:pPr>
    </w:lvl>
    <w:lvl w:ilvl="4" w:tplc="7D08056E" w:tentative="1">
      <w:start w:val="1"/>
      <w:numFmt w:val="decimal"/>
      <w:lvlText w:val="%5."/>
      <w:lvlJc w:val="left"/>
      <w:pPr>
        <w:tabs>
          <w:tab w:val="num" w:pos="3600"/>
        </w:tabs>
        <w:ind w:left="3600" w:hanging="360"/>
      </w:pPr>
    </w:lvl>
    <w:lvl w:ilvl="5" w:tplc="B728147E" w:tentative="1">
      <w:start w:val="1"/>
      <w:numFmt w:val="decimal"/>
      <w:lvlText w:val="%6."/>
      <w:lvlJc w:val="left"/>
      <w:pPr>
        <w:tabs>
          <w:tab w:val="num" w:pos="4320"/>
        </w:tabs>
        <w:ind w:left="4320" w:hanging="360"/>
      </w:pPr>
    </w:lvl>
    <w:lvl w:ilvl="6" w:tplc="A178E186" w:tentative="1">
      <w:start w:val="1"/>
      <w:numFmt w:val="decimal"/>
      <w:lvlText w:val="%7."/>
      <w:lvlJc w:val="left"/>
      <w:pPr>
        <w:tabs>
          <w:tab w:val="num" w:pos="5040"/>
        </w:tabs>
        <w:ind w:left="5040" w:hanging="360"/>
      </w:pPr>
    </w:lvl>
    <w:lvl w:ilvl="7" w:tplc="62282EDA" w:tentative="1">
      <w:start w:val="1"/>
      <w:numFmt w:val="decimal"/>
      <w:lvlText w:val="%8."/>
      <w:lvlJc w:val="left"/>
      <w:pPr>
        <w:tabs>
          <w:tab w:val="num" w:pos="5760"/>
        </w:tabs>
        <w:ind w:left="5760" w:hanging="360"/>
      </w:pPr>
    </w:lvl>
    <w:lvl w:ilvl="8" w:tplc="D19AA5BC" w:tentative="1">
      <w:start w:val="1"/>
      <w:numFmt w:val="decimal"/>
      <w:lvlText w:val="%9."/>
      <w:lvlJc w:val="left"/>
      <w:pPr>
        <w:tabs>
          <w:tab w:val="num" w:pos="6480"/>
        </w:tabs>
        <w:ind w:left="6480" w:hanging="360"/>
      </w:pPr>
    </w:lvl>
  </w:abstractNum>
  <w:abstractNum w:abstractNumId="3">
    <w:nsid w:val="45A33058"/>
    <w:multiLevelType w:val="multilevel"/>
    <w:tmpl w:val="DF1CEBCE"/>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29C5FCA"/>
    <w:multiLevelType w:val="multilevel"/>
    <w:tmpl w:val="4A8AFCA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4"/>
        </w:tabs>
        <w:ind w:left="794" w:hanging="510"/>
      </w:pPr>
      <w:rPr>
        <w:rFonts w:hint="default"/>
      </w:rPr>
    </w:lvl>
    <w:lvl w:ilvl="2">
      <w:start w:val="1"/>
      <w:numFmt w:val="bullet"/>
      <w:lvlText w:val=""/>
      <w:lvlJc w:val="left"/>
      <w:pPr>
        <w:tabs>
          <w:tab w:val="num" w:pos="1191"/>
        </w:tabs>
        <w:ind w:left="1191" w:hanging="624"/>
      </w:pPr>
      <w:rPr>
        <w:rFonts w:ascii="Wingdings" w:hAnsi="Wingdings" w:hint="default"/>
      </w:rPr>
    </w:lvl>
    <w:lvl w:ilvl="3">
      <w:start w:val="1"/>
      <w:numFmt w:val="decimal"/>
      <w:lvlText w:val="%1.%2.%3.%4"/>
      <w:lvlJc w:val="left"/>
      <w:pPr>
        <w:tabs>
          <w:tab w:val="num" w:pos="1588"/>
        </w:tabs>
        <w:ind w:left="1588" w:hanging="737"/>
      </w:pPr>
      <w:rPr>
        <w:rFonts w:ascii="Arial" w:hAnsi="Arial" w:hint="default"/>
      </w:rPr>
    </w:lvl>
    <w:lvl w:ilvl="4">
      <w:start w:val="1"/>
      <w:numFmt w:val="decimal"/>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
    <w:nsid w:val="7FF536D2"/>
    <w:multiLevelType w:val="multilevel"/>
    <w:tmpl w:val="EB7E08A0"/>
    <w:lvl w:ilvl="0">
      <w:start w:val="1"/>
      <w:numFmt w:val="decimal"/>
      <w:pStyle w:val="Nadpis1"/>
      <w:lvlText w:val="%1"/>
      <w:lvlJc w:val="left"/>
      <w:pPr>
        <w:tabs>
          <w:tab w:val="num" w:pos="397"/>
        </w:tabs>
        <w:ind w:left="397" w:hanging="397"/>
      </w:pPr>
      <w:rPr>
        <w:rFonts w:hint="default"/>
        <w:color w:val="9BBB59" w:themeColor="accent3"/>
      </w:rPr>
    </w:lvl>
    <w:lvl w:ilvl="1">
      <w:start w:val="1"/>
      <w:numFmt w:val="decimal"/>
      <w:pStyle w:val="Nadpis2"/>
      <w:lvlText w:val="%1.%2"/>
      <w:lvlJc w:val="left"/>
      <w:pPr>
        <w:tabs>
          <w:tab w:val="num" w:pos="794"/>
        </w:tabs>
        <w:ind w:left="794" w:hanging="510"/>
      </w:pPr>
      <w:rPr>
        <w:rFonts w:hint="default"/>
        <w:b w:val="0"/>
        <w:color w:val="9BBB59" w:themeColor="accent3"/>
        <w:sz w:val="22"/>
        <w:szCs w:val="22"/>
      </w:rPr>
    </w:lvl>
    <w:lvl w:ilvl="2">
      <w:start w:val="1"/>
      <w:numFmt w:val="decimal"/>
      <w:lvlText w:val="%1.%2.%3"/>
      <w:lvlJc w:val="left"/>
      <w:pPr>
        <w:tabs>
          <w:tab w:val="num" w:pos="1191"/>
        </w:tabs>
        <w:ind w:left="1191" w:hanging="624"/>
      </w:pPr>
      <w:rPr>
        <w:rFonts w:ascii="Times New Roman" w:hAnsi="Times New Roman" w:cs="Times New Roman" w:hint="default"/>
      </w:rPr>
    </w:lvl>
    <w:lvl w:ilvl="3">
      <w:start w:val="1"/>
      <w:numFmt w:val="decimal"/>
      <w:lvlText w:val="%1.%2.%3.%4"/>
      <w:lvlJc w:val="left"/>
      <w:pPr>
        <w:tabs>
          <w:tab w:val="num" w:pos="1588"/>
        </w:tabs>
        <w:ind w:left="1588" w:hanging="737"/>
      </w:pPr>
      <w:rPr>
        <w:rFonts w:ascii="Arial" w:hAnsi="Arial" w:hint="default"/>
      </w:rPr>
    </w:lvl>
    <w:lvl w:ilvl="4">
      <w:start w:val="1"/>
      <w:numFmt w:val="decimal"/>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343A"/>
    <w:rsid w:val="00014856"/>
    <w:rsid w:val="0002259E"/>
    <w:rsid w:val="000349B7"/>
    <w:rsid w:val="00062ED8"/>
    <w:rsid w:val="00085607"/>
    <w:rsid w:val="00090CE0"/>
    <w:rsid w:val="000F35F7"/>
    <w:rsid w:val="00113304"/>
    <w:rsid w:val="00114428"/>
    <w:rsid w:val="00120687"/>
    <w:rsid w:val="001668DE"/>
    <w:rsid w:val="001861DE"/>
    <w:rsid w:val="001B5D42"/>
    <w:rsid w:val="001F485B"/>
    <w:rsid w:val="00225BC7"/>
    <w:rsid w:val="00294378"/>
    <w:rsid w:val="002B4620"/>
    <w:rsid w:val="002D5665"/>
    <w:rsid w:val="002D6125"/>
    <w:rsid w:val="002E1ECE"/>
    <w:rsid w:val="002E3423"/>
    <w:rsid w:val="0031304C"/>
    <w:rsid w:val="00327BA5"/>
    <w:rsid w:val="00350617"/>
    <w:rsid w:val="0036272F"/>
    <w:rsid w:val="00381BDF"/>
    <w:rsid w:val="003832FA"/>
    <w:rsid w:val="003877D8"/>
    <w:rsid w:val="003C092D"/>
    <w:rsid w:val="003C7250"/>
    <w:rsid w:val="003D4463"/>
    <w:rsid w:val="003F2AB7"/>
    <w:rsid w:val="00403C5F"/>
    <w:rsid w:val="00451EB2"/>
    <w:rsid w:val="004C5BA8"/>
    <w:rsid w:val="004D7906"/>
    <w:rsid w:val="004E5CDC"/>
    <w:rsid w:val="0050021A"/>
    <w:rsid w:val="0050281F"/>
    <w:rsid w:val="00545EC2"/>
    <w:rsid w:val="00571AE0"/>
    <w:rsid w:val="00572C7C"/>
    <w:rsid w:val="00581C91"/>
    <w:rsid w:val="005A1558"/>
    <w:rsid w:val="005A1D5E"/>
    <w:rsid w:val="005A7C72"/>
    <w:rsid w:val="005C3C8E"/>
    <w:rsid w:val="005F068C"/>
    <w:rsid w:val="00606A39"/>
    <w:rsid w:val="006323AF"/>
    <w:rsid w:val="006361FB"/>
    <w:rsid w:val="00672ACD"/>
    <w:rsid w:val="00674BCD"/>
    <w:rsid w:val="00687F8E"/>
    <w:rsid w:val="006F27BD"/>
    <w:rsid w:val="006F37ED"/>
    <w:rsid w:val="00713808"/>
    <w:rsid w:val="00734416"/>
    <w:rsid w:val="00777AE7"/>
    <w:rsid w:val="00781687"/>
    <w:rsid w:val="007A022E"/>
    <w:rsid w:val="007A2E9F"/>
    <w:rsid w:val="007C1682"/>
    <w:rsid w:val="007F23B7"/>
    <w:rsid w:val="00834039"/>
    <w:rsid w:val="00843D35"/>
    <w:rsid w:val="00847CBD"/>
    <w:rsid w:val="008A4F93"/>
    <w:rsid w:val="008B0A4B"/>
    <w:rsid w:val="008F74C2"/>
    <w:rsid w:val="009117B5"/>
    <w:rsid w:val="00924C60"/>
    <w:rsid w:val="009855C8"/>
    <w:rsid w:val="00AD49CF"/>
    <w:rsid w:val="00B04F2B"/>
    <w:rsid w:val="00B06F1D"/>
    <w:rsid w:val="00B145EF"/>
    <w:rsid w:val="00B63218"/>
    <w:rsid w:val="00B9415F"/>
    <w:rsid w:val="00C374B1"/>
    <w:rsid w:val="00CA343A"/>
    <w:rsid w:val="00CB43B1"/>
    <w:rsid w:val="00CB4E51"/>
    <w:rsid w:val="00CB5E14"/>
    <w:rsid w:val="00CD0B1A"/>
    <w:rsid w:val="00CE20C3"/>
    <w:rsid w:val="00CE6634"/>
    <w:rsid w:val="00D01D53"/>
    <w:rsid w:val="00D25B45"/>
    <w:rsid w:val="00D64460"/>
    <w:rsid w:val="00D70478"/>
    <w:rsid w:val="00D754F9"/>
    <w:rsid w:val="00D816CC"/>
    <w:rsid w:val="00D833EE"/>
    <w:rsid w:val="00D83A6C"/>
    <w:rsid w:val="00D97325"/>
    <w:rsid w:val="00DB2278"/>
    <w:rsid w:val="00DB6469"/>
    <w:rsid w:val="00DB704A"/>
    <w:rsid w:val="00DC1349"/>
    <w:rsid w:val="00DC25C6"/>
    <w:rsid w:val="00DD3608"/>
    <w:rsid w:val="00DE11C6"/>
    <w:rsid w:val="00E23D55"/>
    <w:rsid w:val="00E42DDD"/>
    <w:rsid w:val="00E47953"/>
    <w:rsid w:val="00E6246E"/>
    <w:rsid w:val="00E750E0"/>
    <w:rsid w:val="00EC1153"/>
    <w:rsid w:val="00EC2361"/>
    <w:rsid w:val="00EC5A49"/>
    <w:rsid w:val="00ED2940"/>
    <w:rsid w:val="00EF16B8"/>
    <w:rsid w:val="00F24212"/>
    <w:rsid w:val="00F2630A"/>
    <w:rsid w:val="00F36936"/>
    <w:rsid w:val="00F425F4"/>
    <w:rsid w:val="00F51F45"/>
    <w:rsid w:val="00F538CA"/>
    <w:rsid w:val="00F67D3B"/>
    <w:rsid w:val="00F8126B"/>
    <w:rsid w:val="00F82A51"/>
    <w:rsid w:val="00FA7205"/>
    <w:rsid w:val="00FB5135"/>
    <w:rsid w:val="00FD0A83"/>
    <w:rsid w:val="00FD22C0"/>
    <w:rsid w:val="00FE18E7"/>
    <w:rsid w:val="00FF201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43A"/>
    <w:pPr>
      <w:spacing w:before="120"/>
      <w:jc w:val="both"/>
    </w:pPr>
    <w:rPr>
      <w:sz w:val="22"/>
      <w:szCs w:val="22"/>
    </w:rPr>
  </w:style>
  <w:style w:type="paragraph" w:styleId="Nadpis1">
    <w:name w:val="heading 1"/>
    <w:basedOn w:val="Normln"/>
    <w:next w:val="Normln"/>
    <w:link w:val="Nadpis1Char"/>
    <w:autoRedefine/>
    <w:uiPriority w:val="9"/>
    <w:qFormat/>
    <w:rsid w:val="00F24212"/>
    <w:pPr>
      <w:keepNext/>
      <w:keepLines/>
      <w:numPr>
        <w:numId w:val="5"/>
      </w:numPr>
      <w:tabs>
        <w:tab w:val="clear" w:pos="397"/>
      </w:tabs>
      <w:spacing w:before="360" w:after="120"/>
      <w:ind w:left="567" w:hanging="567"/>
      <w:jc w:val="left"/>
      <w:outlineLvl w:val="0"/>
    </w:pPr>
    <w:rPr>
      <w:rFonts w:asciiTheme="minorHAnsi" w:hAnsiTheme="minorHAnsi" w:cstheme="minorHAnsi"/>
      <w:b/>
      <w:bCs/>
      <w:kern w:val="32"/>
      <w:sz w:val="24"/>
      <w:szCs w:val="24"/>
    </w:rPr>
  </w:style>
  <w:style w:type="paragraph" w:styleId="Nadpis2">
    <w:name w:val="heading 2"/>
    <w:basedOn w:val="Normln"/>
    <w:next w:val="Normln"/>
    <w:link w:val="Nadpis2Char"/>
    <w:autoRedefine/>
    <w:uiPriority w:val="9"/>
    <w:unhideWhenUsed/>
    <w:qFormat/>
    <w:rsid w:val="003F2AB7"/>
    <w:pPr>
      <w:numPr>
        <w:ilvl w:val="1"/>
        <w:numId w:val="5"/>
      </w:numPr>
      <w:tabs>
        <w:tab w:val="clear" w:pos="794"/>
      </w:tabs>
      <w:spacing w:after="120"/>
      <w:ind w:left="567" w:hanging="567"/>
      <w:outlineLvl w:val="1"/>
    </w:pPr>
    <w:rPr>
      <w:rFonts w:cs="Calibri"/>
      <w:bCs/>
      <w:iCs/>
      <w:sz w:val="20"/>
      <w:szCs w:val="20"/>
    </w:rPr>
  </w:style>
  <w:style w:type="paragraph" w:styleId="Nadpis3">
    <w:name w:val="heading 3"/>
    <w:basedOn w:val="Normln"/>
    <w:next w:val="Normln"/>
    <w:link w:val="Nadpis3Char"/>
    <w:autoRedefine/>
    <w:uiPriority w:val="9"/>
    <w:unhideWhenUsed/>
    <w:qFormat/>
    <w:rsid w:val="002E1ECE"/>
    <w:pPr>
      <w:keepNext/>
      <w:spacing w:before="240" w:after="60"/>
      <w:outlineLvl w:val="2"/>
    </w:pPr>
    <w:rPr>
      <w:b/>
      <w:bCs/>
      <w:szCs w:val="26"/>
    </w:rPr>
  </w:style>
  <w:style w:type="paragraph" w:styleId="Nadpis4">
    <w:name w:val="heading 4"/>
    <w:basedOn w:val="Normln"/>
    <w:next w:val="Normln"/>
    <w:link w:val="Nadpis4Char"/>
    <w:uiPriority w:val="9"/>
    <w:unhideWhenUsed/>
    <w:qFormat/>
    <w:rsid w:val="002E1ECE"/>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5BA8"/>
    <w:pPr>
      <w:tabs>
        <w:tab w:val="center" w:pos="4536"/>
        <w:tab w:val="right" w:pos="9072"/>
      </w:tabs>
    </w:pPr>
  </w:style>
  <w:style w:type="character" w:customStyle="1" w:styleId="ZhlavChar">
    <w:name w:val="Záhlaví Char"/>
    <w:link w:val="Zhlav"/>
    <w:uiPriority w:val="99"/>
    <w:rsid w:val="004C5BA8"/>
    <w:rPr>
      <w:sz w:val="22"/>
      <w:szCs w:val="22"/>
    </w:rPr>
  </w:style>
  <w:style w:type="paragraph" w:styleId="Zpat">
    <w:name w:val="footer"/>
    <w:basedOn w:val="Normln"/>
    <w:link w:val="ZpatChar"/>
    <w:uiPriority w:val="99"/>
    <w:unhideWhenUsed/>
    <w:rsid w:val="004C5BA8"/>
    <w:pPr>
      <w:tabs>
        <w:tab w:val="center" w:pos="4536"/>
        <w:tab w:val="right" w:pos="9072"/>
      </w:tabs>
    </w:pPr>
  </w:style>
  <w:style w:type="character" w:customStyle="1" w:styleId="ZpatChar">
    <w:name w:val="Zápatí Char"/>
    <w:link w:val="Zpat"/>
    <w:uiPriority w:val="99"/>
    <w:rsid w:val="004C5BA8"/>
    <w:rPr>
      <w:sz w:val="22"/>
      <w:szCs w:val="22"/>
    </w:rPr>
  </w:style>
  <w:style w:type="paragraph" w:styleId="Bezmezer">
    <w:name w:val="No Spacing"/>
    <w:uiPriority w:val="1"/>
    <w:qFormat/>
    <w:rsid w:val="002E1ECE"/>
    <w:rPr>
      <w:sz w:val="22"/>
      <w:szCs w:val="22"/>
    </w:rPr>
  </w:style>
  <w:style w:type="character" w:customStyle="1" w:styleId="Nadpis1Char">
    <w:name w:val="Nadpis 1 Char"/>
    <w:link w:val="Nadpis1"/>
    <w:uiPriority w:val="9"/>
    <w:rsid w:val="00F24212"/>
    <w:rPr>
      <w:rFonts w:asciiTheme="minorHAnsi" w:hAnsiTheme="minorHAnsi" w:cstheme="minorHAnsi"/>
      <w:b/>
      <w:bCs/>
      <w:kern w:val="32"/>
      <w:sz w:val="24"/>
      <w:szCs w:val="24"/>
    </w:rPr>
  </w:style>
  <w:style w:type="character" w:customStyle="1" w:styleId="Nadpis2Char">
    <w:name w:val="Nadpis 2 Char"/>
    <w:link w:val="Nadpis2"/>
    <w:uiPriority w:val="9"/>
    <w:rsid w:val="003F2AB7"/>
    <w:rPr>
      <w:rFonts w:cs="Calibri"/>
      <w:bCs/>
      <w:iCs/>
    </w:rPr>
  </w:style>
  <w:style w:type="character" w:customStyle="1" w:styleId="Nadpis3Char">
    <w:name w:val="Nadpis 3 Char"/>
    <w:link w:val="Nadpis3"/>
    <w:uiPriority w:val="9"/>
    <w:rsid w:val="002E1ECE"/>
    <w:rPr>
      <w:rFonts w:eastAsia="Times New Roman" w:cs="Times New Roman"/>
      <w:b/>
      <w:bCs/>
      <w:szCs w:val="26"/>
    </w:rPr>
  </w:style>
  <w:style w:type="character" w:customStyle="1" w:styleId="Nadpis4Char">
    <w:name w:val="Nadpis 4 Char"/>
    <w:link w:val="Nadpis4"/>
    <w:uiPriority w:val="9"/>
    <w:rsid w:val="002E1ECE"/>
    <w:rPr>
      <w:rFonts w:ascii="Calibri" w:eastAsia="Times New Roman" w:hAnsi="Calibri" w:cs="Times New Roman"/>
      <w:b/>
      <w:bCs/>
      <w:sz w:val="28"/>
      <w:szCs w:val="28"/>
    </w:rPr>
  </w:style>
  <w:style w:type="character" w:styleId="Hypertextovodkaz">
    <w:name w:val="Hyperlink"/>
    <w:uiPriority w:val="99"/>
    <w:unhideWhenUsed/>
    <w:rsid w:val="00CA343A"/>
    <w:rPr>
      <w:color w:val="0000FF"/>
      <w:u w:val="single"/>
    </w:rPr>
  </w:style>
  <w:style w:type="paragraph" w:customStyle="1" w:styleId="Default">
    <w:name w:val="Default"/>
    <w:rsid w:val="00CA343A"/>
    <w:pPr>
      <w:autoSpaceDE w:val="0"/>
      <w:autoSpaceDN w:val="0"/>
      <w:adjustRightInd w:val="0"/>
    </w:pPr>
    <w:rPr>
      <w:rFonts w:eastAsia="Calibri" w:cs="Calibri"/>
      <w:color w:val="000000"/>
      <w:sz w:val="24"/>
      <w:szCs w:val="24"/>
      <w:lang w:eastAsia="en-US"/>
    </w:rPr>
  </w:style>
  <w:style w:type="paragraph" w:styleId="Odstavecseseznamem">
    <w:name w:val="List Paragraph"/>
    <w:basedOn w:val="Normln"/>
    <w:uiPriority w:val="34"/>
    <w:qFormat/>
    <w:rsid w:val="009117B5"/>
    <w:pPr>
      <w:ind w:left="720"/>
      <w:contextualSpacing/>
    </w:pPr>
  </w:style>
  <w:style w:type="character" w:styleId="Odkaznakoment">
    <w:name w:val="annotation reference"/>
    <w:basedOn w:val="Standardnpsmoodstavce"/>
    <w:uiPriority w:val="99"/>
    <w:semiHidden/>
    <w:unhideWhenUsed/>
    <w:rsid w:val="00114428"/>
    <w:rPr>
      <w:sz w:val="16"/>
      <w:szCs w:val="16"/>
    </w:rPr>
  </w:style>
  <w:style w:type="paragraph" w:styleId="Textkomente">
    <w:name w:val="annotation text"/>
    <w:basedOn w:val="Normln"/>
    <w:link w:val="TextkomenteChar"/>
    <w:uiPriority w:val="99"/>
    <w:semiHidden/>
    <w:unhideWhenUsed/>
    <w:rsid w:val="00114428"/>
    <w:rPr>
      <w:sz w:val="20"/>
      <w:szCs w:val="20"/>
    </w:rPr>
  </w:style>
  <w:style w:type="character" w:customStyle="1" w:styleId="TextkomenteChar">
    <w:name w:val="Text komentáře Char"/>
    <w:basedOn w:val="Standardnpsmoodstavce"/>
    <w:link w:val="Textkomente"/>
    <w:uiPriority w:val="99"/>
    <w:semiHidden/>
    <w:rsid w:val="00114428"/>
  </w:style>
  <w:style w:type="paragraph" w:styleId="Pedmtkomente">
    <w:name w:val="annotation subject"/>
    <w:basedOn w:val="Textkomente"/>
    <w:next w:val="Textkomente"/>
    <w:link w:val="PedmtkomenteChar"/>
    <w:uiPriority w:val="99"/>
    <w:semiHidden/>
    <w:unhideWhenUsed/>
    <w:rsid w:val="00114428"/>
    <w:rPr>
      <w:b/>
      <w:bCs/>
    </w:rPr>
  </w:style>
  <w:style w:type="character" w:customStyle="1" w:styleId="PedmtkomenteChar">
    <w:name w:val="Předmět komentáře Char"/>
    <w:basedOn w:val="TextkomenteChar"/>
    <w:link w:val="Pedmtkomente"/>
    <w:uiPriority w:val="99"/>
    <w:semiHidden/>
    <w:rsid w:val="00114428"/>
    <w:rPr>
      <w:b/>
      <w:bCs/>
    </w:rPr>
  </w:style>
  <w:style w:type="paragraph" w:styleId="Textbubliny">
    <w:name w:val="Balloon Text"/>
    <w:basedOn w:val="Normln"/>
    <w:link w:val="TextbublinyChar"/>
    <w:uiPriority w:val="99"/>
    <w:semiHidden/>
    <w:unhideWhenUsed/>
    <w:rsid w:val="00114428"/>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4428"/>
    <w:rPr>
      <w:rFonts w:ascii="Segoe UI" w:hAnsi="Segoe UI" w:cs="Segoe UI"/>
      <w:sz w:val="18"/>
      <w:szCs w:val="18"/>
    </w:rPr>
  </w:style>
  <w:style w:type="character" w:customStyle="1" w:styleId="A5">
    <w:name w:val="A5"/>
    <w:uiPriority w:val="99"/>
    <w:rsid w:val="00834039"/>
    <w:rPr>
      <w:rFonts w:cs="AvenirNext LT Pro Regular"/>
      <w:color w:val="000000"/>
      <w:sz w:val="14"/>
      <w:szCs w:val="14"/>
    </w:rPr>
  </w:style>
  <w:style w:type="paragraph" w:customStyle="1" w:styleId="cplnekslovan">
    <w:name w:val="cp_Článek číslovaný"/>
    <w:basedOn w:val="Normln"/>
    <w:next w:val="cpodstavecslovan1"/>
    <w:qFormat/>
    <w:rsid w:val="008B0A4B"/>
    <w:pPr>
      <w:keepNext/>
      <w:numPr>
        <w:numId w:val="4"/>
      </w:numPr>
      <w:spacing w:before="480" w:after="120" w:line="260" w:lineRule="exact"/>
      <w:jc w:val="center"/>
      <w:outlineLvl w:val="0"/>
    </w:pPr>
    <w:rPr>
      <w:rFonts w:ascii="Times New Roman" w:hAnsi="Times New Roman"/>
      <w:b/>
      <w:bCs/>
      <w:kern w:val="32"/>
      <w:lang/>
    </w:rPr>
  </w:style>
  <w:style w:type="paragraph" w:customStyle="1" w:styleId="cpodstavecslovan1">
    <w:name w:val="cp_odstavec číslovaný 1"/>
    <w:basedOn w:val="Normln"/>
    <w:qFormat/>
    <w:rsid w:val="008B0A4B"/>
    <w:pPr>
      <w:numPr>
        <w:ilvl w:val="1"/>
        <w:numId w:val="4"/>
      </w:numPr>
      <w:spacing w:after="120" w:line="260" w:lineRule="exact"/>
      <w:outlineLvl w:val="1"/>
    </w:pPr>
    <w:rPr>
      <w:rFonts w:ascii="Times New Roman" w:hAnsi="Times New Roman"/>
      <w:lang/>
    </w:rPr>
  </w:style>
  <w:style w:type="paragraph" w:customStyle="1" w:styleId="cpodstavecslovan2">
    <w:name w:val="cp_odstavec číslovaný 2"/>
    <w:basedOn w:val="Normln"/>
    <w:qFormat/>
    <w:rsid w:val="008B0A4B"/>
    <w:pPr>
      <w:numPr>
        <w:ilvl w:val="2"/>
        <w:numId w:val="4"/>
      </w:numPr>
      <w:spacing w:before="0" w:after="120" w:line="260" w:lineRule="exact"/>
    </w:pPr>
    <w:rPr>
      <w:rFonts w:ascii="Times New Roman" w:hAnsi="Times New Roman"/>
      <w:bCs/>
      <w:sz w:val="20"/>
      <w:szCs w:val="24"/>
      <w:lang/>
    </w:rPr>
  </w:style>
  <w:style w:type="paragraph" w:customStyle="1" w:styleId="cpslovnpsmennkodstavci1">
    <w:name w:val="cp_číslování písmenné k odstavci 1"/>
    <w:basedOn w:val="Normln"/>
    <w:qFormat/>
    <w:rsid w:val="008B0A4B"/>
    <w:pPr>
      <w:numPr>
        <w:ilvl w:val="3"/>
        <w:numId w:val="4"/>
      </w:numPr>
      <w:spacing w:after="120" w:line="260" w:lineRule="exact"/>
      <w:outlineLvl w:val="2"/>
    </w:pPr>
    <w:rPr>
      <w:rFonts w:ascii="Times New Roman" w:hAnsi="Times New Roman"/>
    </w:rPr>
  </w:style>
  <w:style w:type="paragraph" w:customStyle="1" w:styleId="cpslovnpsmennkodstavci2">
    <w:name w:val="cp_číslování písmenné k odstavci 2"/>
    <w:basedOn w:val="Normln"/>
    <w:qFormat/>
    <w:rsid w:val="008B0A4B"/>
    <w:pPr>
      <w:numPr>
        <w:ilvl w:val="4"/>
        <w:numId w:val="4"/>
      </w:numPr>
      <w:spacing w:before="0"/>
      <w:jc w:val="left"/>
    </w:pPr>
    <w:rPr>
      <w:rFonts w:ascii="Times New Roman" w:hAnsi="Times New Roman"/>
      <w:sz w:val="24"/>
      <w:szCs w:val="24"/>
    </w:rPr>
  </w:style>
  <w:style w:type="paragraph" w:customStyle="1" w:styleId="cpodrky1">
    <w:name w:val="cp_odrážky1"/>
    <w:basedOn w:val="Normln"/>
    <w:qFormat/>
    <w:rsid w:val="008B0A4B"/>
    <w:pPr>
      <w:numPr>
        <w:ilvl w:val="5"/>
        <w:numId w:val="4"/>
      </w:numPr>
      <w:spacing w:before="0"/>
      <w:jc w:val="left"/>
    </w:pPr>
    <w:rPr>
      <w:rFonts w:ascii="Times New Roman" w:hAnsi="Times New Roman"/>
      <w:sz w:val="24"/>
      <w:szCs w:val="24"/>
    </w:rPr>
  </w:style>
  <w:style w:type="paragraph" w:customStyle="1" w:styleId="cpodrky2">
    <w:name w:val="cp_odrážky2"/>
    <w:basedOn w:val="Normln"/>
    <w:qFormat/>
    <w:rsid w:val="008B0A4B"/>
    <w:pPr>
      <w:numPr>
        <w:ilvl w:val="6"/>
        <w:numId w:val="4"/>
      </w:numPr>
      <w:spacing w:before="0"/>
      <w:jc w:val="left"/>
    </w:pPr>
    <w:rPr>
      <w:rFonts w:ascii="Times New Roman" w:hAnsi="Times New Roman"/>
      <w:sz w:val="24"/>
      <w:szCs w:val="24"/>
    </w:rPr>
  </w:style>
  <w:style w:type="paragraph" w:customStyle="1" w:styleId="cpNormal1">
    <w:name w:val="cp_Normal_1"/>
    <w:basedOn w:val="Normln"/>
    <w:qFormat/>
    <w:rsid w:val="00D83A6C"/>
    <w:pPr>
      <w:spacing w:before="0" w:after="260" w:line="260" w:lineRule="atLeast"/>
      <w:jc w:val="left"/>
    </w:pPr>
    <w:rPr>
      <w:rFonts w:ascii="Times New Roman" w:eastAsia="Calibri" w:hAnsi="Times New Roman"/>
      <w:lang w:eastAsia="en-US"/>
    </w:rPr>
  </w:style>
  <w:style w:type="paragraph" w:styleId="Nzev">
    <w:name w:val="Title"/>
    <w:basedOn w:val="Normln"/>
    <w:next w:val="Normln"/>
    <w:link w:val="NzevChar"/>
    <w:uiPriority w:val="10"/>
    <w:qFormat/>
    <w:rsid w:val="00D83A6C"/>
    <w:pPr>
      <w:spacing w:before="0" w:after="300"/>
      <w:contextualSpacing/>
      <w:jc w:val="left"/>
    </w:pPr>
    <w:rPr>
      <w:rFonts w:ascii="Arial" w:hAnsi="Arial"/>
      <w:b/>
      <w:color w:val="2D55AB"/>
      <w:spacing w:val="5"/>
      <w:kern w:val="28"/>
      <w:sz w:val="36"/>
      <w:szCs w:val="52"/>
      <w:lang w:eastAsia="en-US"/>
    </w:rPr>
  </w:style>
  <w:style w:type="character" w:customStyle="1" w:styleId="NzevChar">
    <w:name w:val="Název Char"/>
    <w:basedOn w:val="Standardnpsmoodstavce"/>
    <w:link w:val="Nzev"/>
    <w:uiPriority w:val="10"/>
    <w:rsid w:val="00D83A6C"/>
    <w:rPr>
      <w:rFonts w:ascii="Arial" w:hAnsi="Arial"/>
      <w:b/>
      <w:color w:val="2D55AB"/>
      <w:spacing w:val="5"/>
      <w:kern w:val="28"/>
      <w:sz w:val="36"/>
      <w:szCs w:val="52"/>
      <w:lang w:eastAsia="en-US"/>
    </w:rPr>
  </w:style>
  <w:style w:type="character" w:styleId="Nzevknihy">
    <w:name w:val="Book Title"/>
    <w:basedOn w:val="Standardnpsmoodstavce"/>
    <w:uiPriority w:val="33"/>
    <w:qFormat/>
    <w:rsid w:val="00D83A6C"/>
    <w:rPr>
      <w:b/>
      <w:bCs/>
      <w:smallCaps/>
      <w:spacing w:val="5"/>
    </w:rPr>
  </w:style>
  <w:style w:type="character" w:styleId="Sledovanodkaz">
    <w:name w:val="FollowedHyperlink"/>
    <w:basedOn w:val="Standardnpsmoodstavce"/>
    <w:uiPriority w:val="99"/>
    <w:semiHidden/>
    <w:unhideWhenUsed/>
    <w:rsid w:val="006323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9988496">
      <w:bodyDiv w:val="1"/>
      <w:marLeft w:val="0"/>
      <w:marRight w:val="0"/>
      <w:marTop w:val="0"/>
      <w:marBottom w:val="0"/>
      <w:divBdr>
        <w:top w:val="none" w:sz="0" w:space="0" w:color="auto"/>
        <w:left w:val="none" w:sz="0" w:space="0" w:color="auto"/>
        <w:bottom w:val="none" w:sz="0" w:space="0" w:color="auto"/>
        <w:right w:val="none" w:sz="0" w:space="0" w:color="auto"/>
      </w:divBdr>
    </w:div>
    <w:div w:id="1630696644">
      <w:bodyDiv w:val="1"/>
      <w:marLeft w:val="0"/>
      <w:marRight w:val="0"/>
      <w:marTop w:val="0"/>
      <w:marBottom w:val="0"/>
      <w:divBdr>
        <w:top w:val="none" w:sz="0" w:space="0" w:color="auto"/>
        <w:left w:val="none" w:sz="0" w:space="0" w:color="auto"/>
        <w:bottom w:val="none" w:sz="0" w:space="0" w:color="auto"/>
        <w:right w:val="none" w:sz="0" w:space="0" w:color="auto"/>
      </w:divBdr>
      <w:divsChild>
        <w:div w:id="526530108">
          <w:marLeft w:val="605"/>
          <w:marRight w:val="0"/>
          <w:marTop w:val="120"/>
          <w:marBottom w:val="0"/>
          <w:divBdr>
            <w:top w:val="none" w:sz="0" w:space="0" w:color="auto"/>
            <w:left w:val="none" w:sz="0" w:space="0" w:color="auto"/>
            <w:bottom w:val="none" w:sz="0" w:space="0" w:color="auto"/>
            <w:right w:val="none" w:sz="0" w:space="0" w:color="auto"/>
          </w:divBdr>
        </w:div>
        <w:div w:id="1472138097">
          <w:marLeft w:val="605"/>
          <w:marRight w:val="0"/>
          <w:marTop w:val="120"/>
          <w:marBottom w:val="0"/>
          <w:divBdr>
            <w:top w:val="none" w:sz="0" w:space="0" w:color="auto"/>
            <w:left w:val="none" w:sz="0" w:space="0" w:color="auto"/>
            <w:bottom w:val="none" w:sz="0" w:space="0" w:color="auto"/>
            <w:right w:val="none" w:sz="0" w:space="0" w:color="auto"/>
          </w:divBdr>
        </w:div>
        <w:div w:id="2093426871">
          <w:marLeft w:val="605"/>
          <w:marRight w:val="0"/>
          <w:marTop w:val="120"/>
          <w:marBottom w:val="0"/>
          <w:divBdr>
            <w:top w:val="none" w:sz="0" w:space="0" w:color="auto"/>
            <w:left w:val="none" w:sz="0" w:space="0" w:color="auto"/>
            <w:bottom w:val="none" w:sz="0" w:space="0" w:color="auto"/>
            <w:right w:val="none" w:sz="0" w:space="0" w:color="auto"/>
          </w:divBdr>
        </w:div>
        <w:div w:id="1611468940">
          <w:marLeft w:val="605"/>
          <w:marRight w:val="0"/>
          <w:marTop w:val="120"/>
          <w:marBottom w:val="0"/>
          <w:divBdr>
            <w:top w:val="none" w:sz="0" w:space="0" w:color="auto"/>
            <w:left w:val="none" w:sz="0" w:space="0" w:color="auto"/>
            <w:bottom w:val="none" w:sz="0" w:space="0" w:color="auto"/>
            <w:right w:val="none" w:sz="0" w:space="0" w:color="auto"/>
          </w:divBdr>
        </w:div>
        <w:div w:id="127166907">
          <w:marLeft w:val="605"/>
          <w:marRight w:val="0"/>
          <w:marTop w:val="120"/>
          <w:marBottom w:val="0"/>
          <w:divBdr>
            <w:top w:val="none" w:sz="0" w:space="0" w:color="auto"/>
            <w:left w:val="none" w:sz="0" w:space="0" w:color="auto"/>
            <w:bottom w:val="none" w:sz="0" w:space="0" w:color="auto"/>
            <w:right w:val="none" w:sz="0" w:space="0" w:color="auto"/>
          </w:divBdr>
        </w:div>
        <w:div w:id="734355785">
          <w:marLeft w:val="605"/>
          <w:marRight w:val="0"/>
          <w:marTop w:val="120"/>
          <w:marBottom w:val="0"/>
          <w:divBdr>
            <w:top w:val="none" w:sz="0" w:space="0" w:color="auto"/>
            <w:left w:val="none" w:sz="0" w:space="0" w:color="auto"/>
            <w:bottom w:val="none" w:sz="0" w:space="0" w:color="auto"/>
            <w:right w:val="none" w:sz="0" w:space="0" w:color="auto"/>
          </w:divBdr>
        </w:div>
        <w:div w:id="512039788">
          <w:marLeft w:val="605"/>
          <w:marRight w:val="0"/>
          <w:marTop w:val="120"/>
          <w:marBottom w:val="0"/>
          <w:divBdr>
            <w:top w:val="none" w:sz="0" w:space="0" w:color="auto"/>
            <w:left w:val="none" w:sz="0" w:space="0" w:color="auto"/>
            <w:bottom w:val="none" w:sz="0" w:space="0" w:color="auto"/>
            <w:right w:val="none" w:sz="0" w:space="0" w:color="auto"/>
          </w:divBdr>
        </w:div>
        <w:div w:id="1155414079">
          <w:marLeft w:val="605"/>
          <w:marRight w:val="0"/>
          <w:marTop w:val="120"/>
          <w:marBottom w:val="0"/>
          <w:divBdr>
            <w:top w:val="none" w:sz="0" w:space="0" w:color="auto"/>
            <w:left w:val="none" w:sz="0" w:space="0" w:color="auto"/>
            <w:bottom w:val="none" w:sz="0" w:space="0" w:color="auto"/>
            <w:right w:val="none" w:sz="0" w:space="0" w:color="auto"/>
          </w:divBdr>
        </w:div>
        <w:div w:id="989596526">
          <w:marLeft w:val="605"/>
          <w:marRight w:val="0"/>
          <w:marTop w:val="120"/>
          <w:marBottom w:val="0"/>
          <w:divBdr>
            <w:top w:val="none" w:sz="0" w:space="0" w:color="auto"/>
            <w:left w:val="none" w:sz="0" w:space="0" w:color="auto"/>
            <w:bottom w:val="none" w:sz="0" w:space="0" w:color="auto"/>
            <w:right w:val="none" w:sz="0" w:space="0" w:color="auto"/>
          </w:divBdr>
        </w:div>
        <w:div w:id="1395464700">
          <w:marLeft w:val="605"/>
          <w:marRight w:val="0"/>
          <w:marTop w:val="120"/>
          <w:marBottom w:val="0"/>
          <w:divBdr>
            <w:top w:val="none" w:sz="0" w:space="0" w:color="auto"/>
            <w:left w:val="none" w:sz="0" w:space="0" w:color="auto"/>
            <w:bottom w:val="none" w:sz="0" w:space="0" w:color="auto"/>
            <w:right w:val="none" w:sz="0" w:space="0" w:color="auto"/>
          </w:divBdr>
        </w:div>
      </w:divsChild>
    </w:div>
    <w:div w:id="19407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boryplu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d.cz/osobniuda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dboryplus.cz/" TargetMode="External"/><Relationship Id="rId4" Type="http://schemas.openxmlformats.org/officeDocument/2006/relationships/settings" Target="settings.xml"/><Relationship Id="rId9" Type="http://schemas.openxmlformats.org/officeDocument/2006/relationships/hyperlink" Target="http://www.odboryplu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A2B6-1426-4877-9663-17AE2D8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7845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MND a.s.</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Vomočilová Blanka</dc:creator>
  <cp:lastModifiedBy>Nikolka</cp:lastModifiedBy>
  <cp:revision>2</cp:revision>
  <cp:lastPrinted>2019-07-26T12:55:00Z</cp:lastPrinted>
  <dcterms:created xsi:type="dcterms:W3CDTF">2019-08-12T12:38:00Z</dcterms:created>
  <dcterms:modified xsi:type="dcterms:W3CDTF">2019-08-12T12:38:00Z</dcterms:modified>
</cp:coreProperties>
</file>